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209 vom 21. April 2016</w:t>
      </w:r>
    </w:p>
    <w:p>
      <w:r>
        <w:t>FR Kantonsgericht, 2016-04-21, FR</w:t>
      </w:r>
    </w:p>
    <w:p>
      <w:r>
        <w:rPr>
          <w:b/>
        </w:rPr>
        <w:t xml:space="preserve">Quelle: </w:t>
      </w:r>
      <w:r>
        <w:t>https://mcp.opencaselaw.ch/entscheid/fr_gerichte_608_2014_209</w:t>
      </w:r>
    </w:p>
    <w:p>
      <w:r>
        <w:t>FR: FR_GERICHTE 608 2014 209 du 21 avril 2016</w:t>
      </w:r>
    </w:p>
    <w:p>
      <w:r>
        <w:t>IT: FR_GERICHTE 608 2014 209 del 21 aprile 2016</w:t>
      </w:r>
    </w:p>
    <w:p>
      <w:pPr>
        <w:pStyle w:val="Heading2"/>
      </w:pPr>
      <w:r>
        <w:t>Regeste</w:t>
      </w:r>
    </w:p>
    <w:p>
      <w:r>
        <w:t>Arrêt de la IIe Cour des assurances sociales du Tribunal cantonal | Invalidenversicherung</w:t>
      </w:r>
    </w:p>
    <w:p>
      <w:pPr>
        <w:pStyle w:val="Heading2"/>
      </w:pPr>
      <w:r>
        <w:t>Erwägungen</w:t>
      </w:r>
    </w:p>
    <w:p>
      <w:r>
        <w:rPr>
          <w:b/>
        </w:rPr>
        <w:t>E. 10</w:t>
      </w:r>
    </w:p>
    <w:p>
      <w:r>
        <w:t>juin 2015. Il sera fait état des arguments développés par elles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w:t>
      </w:r>
    </w:p>
    <w:p>
      <w:r>
        <w:t>Tribunal cantonal TC Page 4 de 9 représenté, étant en outre directement atteint par la décision querellée et ayant dès lors un intérêt digne de protection à ce qu'elle soit, cas échéant, annulée ou modifiée. 2. a) A teneur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w:t>
      </w:r>
    </w:p>
    <w:p>
      <w:r>
        <w:t>Tribunal cantonal TC Page 5 de 9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c)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d) Il convient encore de rappeler que le moment où a été rendue la décision litigieuse délimite, en règle générale, l'état de fait déterminant permettant d'examiner la légalité de l'acte attaqué. Ainsi, le juge n'a pas à prendre en considération les modifications de l'état de fait postérieures à cette date (ATF 132 V 215 consid. 3.1.1 et 129 V 1 consid. 1.2).</w:t>
      </w:r>
    </w:p>
    <w:p>
      <w:r>
        <w:t>Tribunal cantonal TC Page 6 de 9 3. Le litige porte sur l’évolution du taux d'invalidité de l'assuré, particulièrement sur l’évolution de sa capacité de travail résiduelle. La décision du 4 octobre 2010, octroyant une rente entière en raison d'un degré d'invalidité de 100%, constitue le point de départ temporel. Il s'agit en effet de la seule décision entrée en force qui repose sur un examen matériel du droit à la rente. Pour sa part, la communication du 21 décembre 2010 se fonde uniquement sur un questionnaire rempli par l'assuré. A ce titre, elle ne repose pas sur une constatation suffisante des faits pertinents, étant souligné qu'aucune nouvelle appréciation des preuves et comparaison des revenus conformes au droit n'a été réalisée. a) Cela étant, il se doit d'être rappelé pour quels motifs l'autorité intimée a reconnu un degré d'invalidité de 100% à son assuré et lui a octroyé une rente entière dans sa décision initiale du 4 octobre 2010 (dossier OAI, pièce 377). Ces conclusions se fondaient essentiellement sur l'expertise du 19 janvier 2009 du Dr G.________, spécialiste FMH en rhumatologie et en médecine physique et réadaptation. Dans celle-ci, le médecin diagnostiquait un syndrome vertébral lombaire persistant ainsi qu'un syndrome radiculaire irritatif L5 gauche en rapport avec des récidives de hernie discale. A son avis, l'exploré devait être considéré comme non stabilisé et en incapacité totale de travailler depuis octobre 2005 jusqu'au jour de l'expertise. Une nouvelle opération étant prévue, l'expert indiquait néanmoins ne pas être en mesure de parler de stabilité définitive de l'état de santé dès lors que ce serait seulement après "cette dernière et nous espérons ultime opération que l'on pourra parler de séquelles définitives stabilisées" (dossier OAI, pièce 283). b) Dans la décision litigieuse du 16 octobre 2014, l'autorité intimée a considéré que l'assuré était en mesure d'augmenter son activité professionnelle jusqu'à un taux de 50% dans une activité adaptée, par exemple dans la production industrielle légère. Il s'appuie sur un rapport du 25 novembre 2013 du Dr K.________, spécialiste FMH en anesthésiologie, qui reprend expressément l'avis du Dr H.________, spécialiste FMH en chirurgie orthopédique et traumatologie de l'appareil locomoteur. Dans son rapport du 21 juin 2013, ce dernier considère que son patient peut exercer une activité avec un port de charge limité jusqu'à</w:t>
      </w:r>
    </w:p>
    <w:p>
      <w:r>
        <w:rPr>
          <w:b/>
        </w:rPr>
        <w:t>E. 15</w:t>
      </w:r>
    </w:p>
    <w:p>
      <w:r>
        <w:t>kg et des changements fréquents de position. Selon lui, un taux de 50% peut être envisagé mais doit être déterminé plus précisément par des stages (dossier OAI, pièce 531; cf. ég. pièces 491, 494 et 510). Selon le médecin SMR, les conclusions du chirurgien-orthopédiste sont parfaitement cohérentes et tiennent compte des lombalgies résiduelles que présente l'assuré. Il estime ainsi qu'il n'y a pas de raison de s'écarter de cette exigibilité ni de réaliser un examen médical (rapport du 25 novembre 2013; dossier OAI, pièce 539). A ces conclusions, le recourant oppose d'abord celles de son médecin traitant, le Dr I.________. La lecture de ses différents rapports fait état d'une situation médicale relativement stable mais d'une évaluation fluctuante de la capacité de travail. Ainsi, dans son rapport du 23 mai 2011, le généraliste fait état d'un problème vertébral lombaire, opéré à quatre reprises. Il estime qu'une activité adaptée peut être réalisée à hauteur de maximum 4 heures par jour, ce qui équivaut peu ou prou à un 50%. Les limitations sont globalement identiques à celles mentionnées par le Dr H.________, il faut cependant leur ajouter l'exposition au bruit, aux fumées et gaz, ainsi que le travail de nuit (dossier OAI, pièces 469ss). Par la suite, dans son rapport du 28 novembre 2011, ainsi que dans celui du 15 septembre 2014 qui y renvoie, le médecin fait part d'un état de santé stationnaire, de diagnostics inchangés et d'un pronostic plutôt favorable. Néanmoins, il considère que son patient n'est plus en mesure d'exercer d'activité</w:t>
      </w:r>
    </w:p>
    <w:p>
      <w:r>
        <w:t>Tribunal cantonal TC Page 7 de 9 même adaptée. A cet égard, il affirme que l'ensemble des capacités fonctionnelles sont limitées à l'exception de son intellect et de son comportement à l'égard de son entourage (dossier OAI, pièces 480 et 556). Cette dichotomie entre un état de santé affirmé inchangé et l'évaluation fluctuante de la capacité de travail met en doute les conclusions du médecin. Cela laisse notamment penser que l'évaluation de la capacité de travail est, à tout le moins en partie, dictée par les plaintes du patient ou par des facteurs étrangers à l'invalidité. Pour contredire l'opinion du Dr H.________, le recourant a également produit divers rapports de ses autres médecins. Néanmoins, la Cour rappelle que le juge n'a pas à prendre en considération les modifications de droit ou de l'état de fait postérieures à la date déterminante de la décision litigieuse. Or, les rapports médicaux produits par le recourant ont tous été établis postérieurement à la décision ici litigieuse de novembre 2014. Reste à examiner s'ils traitent également d'un état de fait antérieur à la décision contestée. Dans la négative, les constats médicaux qui y figurent n'auraient pas à être pris en compte. Le rapport du 24 novembre 2014 du Dr L.________, spécialiste FMH en rhumatologie et en médecine interne générale, fait état de l'historique du patient. Néanmoins, il faut souligner que le médecin n'a pas été consulté par l'assuré entre octobre 2010 (questionnaire pour la révision de la rente d'invalidité du 18 octobre 2010; dossier OAI, pièce 387; cf. ég. pièce 328) et novembre 2014 (recours, n° 29). Pour ces motifs, plutôt que d'évaluer une période, le médecin fait une évaluation ponctuelle – et postérieure à la décision litigieuse – de l'état de son patient qu'il étend à la situation existante lors de sa dernière intervention quatre ans plus tôt. C'est ce que confirme l'oubli, par le médecin, de mentionner une intervention effectuée le 20 février 2012 (dossier OAI, pièces 494 et 508). Au vu de la durée sans suivi de plus de quatre ans, cette manière de faire ne permet pas d'exclure que l'état de santé ait évolué durant ce laps de temps. Tout au plus, le document pourrait éventuellement se voir reconnaître une valeur probante s'agissant de la situation au moment de la consultation, postérieure à la décision ici en cause. Il ne concerne dès lors pas la présente procédure. Les rapports du Dr H.________ du 26 février et du 2 avril 2015 mentionnent une péjoration de la symptomatologie au moment de la consultation, soit cinq mois après la décision litigieuse. Pour leurs parts, les deux rapports d'imagerie médicale du 21 décembre 2014 et du 19 mars 2015 se contentent chacun de décrire un examen ponctuel de décembre 2014. Ces quatre documents traitent expressément d'un état de fait postérieur à la décision litigieuse et n'ont pas à être pris en compte dans la présente procédure. Au vu de ce qui précède, le recourant ne parvient pas à mettre en doute les conclusions précédentes du Dr H.________, reprises par le SMR. Le rapport médical du 25 novembre 2013 remplit par ailleurs toutes les conditions auxquelles la jurisprudence soumet la valeur probante d'un rapport médical. Suivant l'assuré depuis de nombreuses années et ayant même exécuté les opérations de 2008, 2009 et 2012, le médecin s'est fondé sur des examens complets et a pris en considération les plaintes émises. Pour les mêmes motifs, il n'est pas contestable que le médecin ait eu pleine connaissance de l'anamnèse ainsi que du dossier médical. Les points litigieux ont été examinés de manière brève mais néanmoins suffisamment détaillée, particulièrement complétés par les multiples interventions du médecin dans le dossier assécurologique. A ce titre également, la description du contexte médical et l'appréciation de la situation médicale sont claires et les conclusions sont suffisamment motivées.</w:t>
      </w:r>
    </w:p>
    <w:p>
      <w:r>
        <w:t>Tribunal cantonal TC Page 8 de 9 Finalement, d'autres éléments du dossier permettent indirectement de confirmer les conclusions du Dr H.________. Ainsi, ces dernières vont dans le sens de ce que le médecin prévoyait en juin 2010, alors qu'il n'excluait pas qu'un travail léger puisse être réalisé à un pourcentage de 20% ou 30% dans un domaine bien adapté mais estimait n'être en mesure de se prononcer qu'au plus tôt six mois après la dernière opération réalisée (rapport du 16 juin 2010; dossier OAI, pièce 344). Elles vont aussi dans le sens de l'évolution prévue par le Dr G.________ dans son expertise du</w:t>
      </w:r>
    </w:p>
    <w:p>
      <w:r>
        <w:rPr>
          <w:b/>
        </w:rPr>
        <w:t>E. 19</w:t>
      </w:r>
    </w:p>
    <w:p>
      <w:r>
        <w:t>janvier 2009. Alors qu'au moment de l'expertise l'expert estimait l'exploré incapable de travailler, il n'excluait pas que la situation se stabilise et que la rente entière de l'assurance- invalidité devienne une rente partielle suite à l'opération agendée en avril 2009 (dossier OAI, pièce 283). En outre, les conclusions sont également validées par la forte diminution du nombre de consultations entre 2010 et 2014. A cet égard, on peut estimer qu'une forte diminution de la demande de soins va dans le sens d'une amélioration de l'état de santé, particulièrement si elle est constatée par certains intervenants au dossier comme en l'espèce. En effet, au moment de la décision litigieuse, le recourant n'avait plus consulté de spécialiste depuis mai 2013 (dossier OAI, pièce 541), soit depuis plus d'une année et demi. Les consultations du Dr H.________ s'étaient espacées depuis 2011 (dossier OAI, pièce 475 et 507) et les Drs L.________ (dossier OAI, pièce 387) et M.________ (dossier OAI, pièce 311) n'étaient plus consultés depuis 2010. Partant, les conclusions du Dr H.________, confirmées par le SMR, sont convaincantes. La Cour retient que l'assuré est en mesure de travailler à un taux de 50% dans une activité adaptée sans port de charge supérieur à 15 kg et permettant l'alternance des positions assise et debout. c) Reste encore à déterminer le taux d'invalidité qui résulte de cette capacité résiduelle de travail. Dans ses écritures, le recourant n'a pas contesté les chiffres retenus par l'autorité intimée pour évaluer les revenus avec et sans invalidité. Ceux-ci seront examinés d'office par la Cour de céans. Le revenu d'invalide a été fixé sur la base de l'Enquête suisse sur la structure des salaires 2010 (ci-après: ESS) en retenant le salaire mensuel brut auquel peuvent prétendre les hommes effectuant des activités simples et répétitives dans le secteur privé de CHF 4'901.- (TA1, totaux, niveau de qualification 4). Comme les salaires bruts standardisés tiennent compte d'un horaire de travail de quarante heures, soit une durée hebdomadaire inférieure à la moyenne usuelle dans les entreprises en 2014 (41,7 heures) et compte tenu de l'indexation ce montant doit être porté à CHF 5'280.-. Diminué à 50% pour tenir compte de la capacité de travail réduite de l'assuré, l'on parvient à un revenu mensuel de CHF 2'640.-. Le revenu annuel d'invalide se monte dès lors à CHF 31'680.-. Dans la décision litigieuse, l'autorité intimée a retenu un salaire sans invalidité de CHF 72'030.66 correspondant au salaire moyen qu'obtenait le recourant en tant que plâtrier. Néanmoins, tant dans sa décision du 9 septembre 2006 que dans celle du 4 octobre 2010, l'autorité intimée avait pris en compte un revenu de valide de CHF 84'189.95. Ce montant correspondait à la moyenne des revenus de l'activité principale (plâtrier) et accessoire (concierge) sur les années 2000 à 2004. Ce second montant chiffre de manière plus précise les revenus que percevait effectivement le recourant lorsqu'il était en santé. Il permet aussi une évaluation de l'évolution de la capacité de gain à la lumière des mêmes critères que ceux ayant présidé à l'octroi de la rente. Partant, il convient de se référer au revenu annuel de valide de CHF 84'189.95 pour 2006, indexé pour l'année 2014 à CHF 92'792.40. Il résulte de la comparaison des revenus un taux d'invalidité de 65.8%,</w:t>
      </w:r>
    </w:p>
    <w:p>
      <w:r>
        <w:t>Tribunal cantonal TC Page 9 de 9 A relever que le degré d'invalidité demeurerait inférieur à 70% même s'il avait été tenu compte d'un abattement supplémentaire de 5% dans l'évaluation du salaire d'invalide, notamment pour tenir compte de l'âge du recourant (né en 1957). L'OAI était par conséquent en droit de considérer que la capacité de gain de son assuré s'était améliorée et qu'il ne pouvait désormais plus prétendre qu'à un trois-quarts de rente. 4. Au regard de l'ensemble de ce qui précède, mal fondé, le recours doit être rejeté et la décision attaquée confirmée. Au vu de l'issue du litige, des frais de justice, fixés à CHF 800.-, sont mis à la charge du recourant qui succombe et compensés avec l'avance de frais. Pour les mêmes motifs, il n'est pas octroyé de dépens. la Cour arrête: I. Le recours est rejeté. II. Des frais de justice de CHF 800.- sont mis à la charge du recourant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