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197 vom 23. März 2016</w:t>
      </w:r>
    </w:p>
    <w:p>
      <w:r>
        <w:t>FR Kantonsgericht, 2016-03-23, FR</w:t>
      </w:r>
    </w:p>
    <w:p>
      <w:r>
        <w:rPr>
          <w:b/>
        </w:rPr>
        <w:t xml:space="preserve">Quelle: </w:t>
      </w:r>
      <w:r>
        <w:t>https://mcp.opencaselaw.ch/entscheid/fr_gerichte_608_2014_197</w:t>
      </w:r>
    </w:p>
    <w:p>
      <w:r>
        <w:t>FR: FR_GERICHTE 608 2014 197 du 23 mars 2016</w:t>
      </w:r>
    </w:p>
    <w:p>
      <w:r>
        <w:t>IT: FR_GERICHTE 608 2014 197 del 23 marzo 2016</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 Selon l'art. 4 al. 1 let. c de la loi fédérale du 6 octobre 2006 sur les prestations complémentaires à l'AVS et à l'AI (LPC; RS 831.30),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 b) Le montant de la prestation complémentaire annuelle correspond, en vertu de l'art. 9 al. 1 LPC, à la part des dépenses reconnues qui excède les revenus déterminants. L'art. 11 al. 1 LPC prescrit que les revenus déterminants comprennent les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ainsi que les rentes, pensions et autres prestations périodiques, y compris les rentes de l’AVS et de l’AI (let. d). La let. g de cet alinéa prescrit en outre que les revenus déterminants comprennent ressources et parts de fortune dont un ayant droit s'est dessaisi. L'art. 9 al. 5 LPC prévoit que le Conseil fédéral édicte des dispositions sur l’addition des dépenses reconnues et des revenus déterminants de membres d’une même famille; il peut prévoir des exceptions, notamment pour ceux des enfants qui donnent droit à une rente pour enfant de l’AVS ou de l’AI (let. a). Il édicte également des règles sur l'évaluation des revenus déterminants, des dépenses reconnues et de la fortune (let. b). c) Le point de savoir si l'on peut exiger du conjoint d'un bénéficiaire de prestations complémentaires qu'il exerce une activité lucrative doit être examiné à l'aune des critères posés en droit de la famille (ATF 134 V 53 consid. 4.1). Selon la jurisprudence, qui s'appuie sur le prescrit de l'art. 163 du Code civil (CC; RS 210),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contraint d'exercer une activité lucrative ou de l'étendre, pour autant que l'entretien convenable</w:t>
      </w:r>
    </w:p>
    <w:p>
      <w:r>
        <w:t>Tribunal cantonal TC Page 4 de 8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TF 9C_240/2010 du 3 septembre 2010 consid. 4.1). Cette jurisprudence correspond à celle rendue sous l'empire de l'ancienne LPC (art. 3 al. 1 let. g aLPC) qui souligne que la disposition était directement applicable lorsque le conjoint d'une personne assurée s'abstenait de mettre en valeur sa capacité de gain, alors qu'il se voit obligé d'exercer une activité lucrative en vertu de l'art. 163 CC. Il appartenait à l'administration ou, en cas de recours, au juge d'examiner si l'on pouvait exiger de l'intéressé qu'il exerce une activité lucrative et, le cas échéant, de fixer le salaire qu’il pourrait en retirer en faisant preuve de bonne volonté. Pour ce faire, il y avait lieu d'appliquer à titre préalable les principes du droit de la famille, compte tenu des circonstances du cas d'espèce. Les critères décisifs avaient notamment trait à l'âge de la personne, à son état de santé, à ses connaissances linguistiques, à sa formation professionnelle, à l'activité exercée jusqu'ici, au marché de l'emploi, et le cas échéant, au temps plus ou moins long pendant lequel la personne aura été éloignée de la vie professionnelle (arrêt TF 8C_722/2007 du 17 juillet 2008 consid. 3.1). C'est également ce que mentionne la directive concernant les prestations complémentaires à l’AVS et à l’AI de l'Office fédéral des assurances sociales (ci-après: la directive; version du 1er janvier 2013). Selon cette dernière, "aucun revenu hypothétique n'est toutefois pris en compte si le conjoint non invalide peut faire valoir l'une ou l'autre des conditions suivantes: - malgré tous ses efforts il ne trouve aucun emploi. Cette hypothèse peut être considérée comme réalisée lorsqu'il s'est adressé à un ORP et prouve que ses recherches d'emploi sont suffisantes qualitativement et quantitativement; - lorsqu'il touche des allocations de chômage; - sans l'aide et les soins qu'il apporte à son conjoint au bénéfice de [prestations complémentaires], celui-ci devrait être placé dans un home. La tenue du ménage en faveur du conjoint ou des enfants ne permet toutefois pas de renoncer à la prise en compte d'un revenu hypothétique" (ch. 3482.03). d) Selon la jurisprudence, il ne se justifie pas pour fixer le revenu hypothétique de l'épouse de faire appel, même par analogie, aux normes schématiques des art. 14a et 14b de l'ordonnance sur les prestations complémentaires à l'assurance-vieillesse, survivants et invalidité (OPC-AVS/AI; RS 831.301), du moment que ces dispositions réglementaires visent des situations bien particulières et que leur application ne saurait être étendue à d'autres cas non expressément envisagés par le Conseil fédéral (ATF 117 V 292 consid. 3c; arrêt TF P 13/01 du 25 février 2002). Selon la directive, pour le revenu hypothétique à prendre en compte, les organes [prestations complémentaires] se réfèrent aux tables de l'Enquête suisse sur la structure des salaires. Ce faisant, il s'agit de salaires bruts. Dans la mesure où les salaires tirés de l'ESS sont en principe déterminés en fonction d'un horaire de 40 heures par semaine, le Tribunal fédéral a estimé qu'il fallait les rapporter à la durée hebdomadaire de travail durant l'année considérée (Tribunal fédéral, arrêt non publié F. [9C_666/2009] du 26 février 2010 consid. 3.2). Afin de fixer le montant, on tiendra compte des conditions personnelles telles que l'âge, l'état de santé, les connaissances linguistiques, la formation professionnelle, l'activité exercée précédemment, la durée d'inactivité, ou les obligations familiales (enfants en bas âge p. ex.). Du revenu brut ainsi fixé, on déduit les cotisations obligatoires dues aux assurances sociales de la confédération […] et le cas échéant les</w:t>
      </w:r>
    </w:p>
    <w:p>
      <w:r>
        <w:t>Tribunal cantonal TC Page 5 de 8 frais de garde des enfants […]. Du revenu net ainsi obtenu, il faut déduire le montant non imputable de [CHF 1'000.- pour les personnes seules et CHF 1'500.- pour les couples et les personnes avec enfants], le solde étant pris en compte pour les deux tiers (directive, ch. 3482.04). e) Il importe,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Sous l’angle du calcul PC, les principes susévoqués peuvent être mis en œuvre, s’agissant de la reprise ou de l’extension d’une activité lucrative, par l’octroi à la personne concernée d’une période – réaliste – d’adaptation, avant d’envisager la prise en compte d’un revenu hypothétique (pratique VSI 2001 p. 128; arrêt TF 9C_630/2013 du 29 septembre 2014 consid. 5.2 et 3; directive, ch. 3482.06).</w:t>
      </w:r>
    </w:p>
    <w:p>
      <w:r>
        <w:rPr>
          <w:b/>
        </w:rPr>
        <w:t>E. 3</w:t>
      </w:r>
    </w:p>
    <w:p>
      <w:r>
        <w:t>octobre 2014. Partant, aucun délai d'adaptation n'a au final été octroyé. C'est cependant omettre le fait que l'épouse estimait être en incapacité totale de travail et qu'il y a précisément lieu d'octroyer une période d'adaptation à une femme au foyer qui se voit imposer d'aller travailler au lieu de rester à la maison. Il incombait dès lors à la Caisse de lui impartir une période d'adaptation réaliste, prenant également en compte le fait qu'elle doive trouver une activité respectant ses limitations fonctionnelles, ce qui n'est pas non plus le cas lorsque seuls quelques jours sont octroyés (cf. notamment arrêt TF 9C_326/2012 du 2 juillet 2012 consid. 4.4: six mois; arrêt TF 9C_630/2013 du 29 septembre 2014 consid. 5.2: cinq mois; arrêt TF P 40/03 du 9 février 2005 consid. 4.2: quatre mois). En l'espèce, la durée de ce délai est fixée à six mois. Il convient en effet de tenir compte des limitations fonctionnelles de l'épouse, du fait qu'elle a été absente du marché pendant près de cinq ans sans que la Caisse la somme de contribuer aux frais du ménage dans un certain délai et qu'elle ne possède pas de formation professionnelle. Il ne sera par contre pas tenu compte, comme critère justifiant un délai plus long, du fait que l'épouse était âgée de 49 ans au moment de la décision attaquée. Partant, un revenu hypothétique en faveur de l'épouse du recourant peut être pris en compte dans le calcul de la prestation complémentaire à partir du mois de février 2015, et non à partir du mois de septembre 2014 comme retenu dans la décision contestée.</w:t>
      </w:r>
    </w:p>
    <w:p>
      <w:r>
        <w:rPr>
          <w:b/>
        </w:rPr>
        <w:t>E. 4</w:t>
      </w:r>
    </w:p>
    <w:p>
      <w:r>
        <w:t>Au vu de l'ensemble des considérants qui précèdent, le recours doit être partiellement admis et la décision sur opposition modifiée en ce sens qu'un revenu annuel net hypothétique de CHF 19'210.- en faveur de l'épouse du recourant est pris en compte dans le calcul du montant de la prestation complémentaire à partir du mois de février 2015. En application du principe de la gratuité prévalant en la matière, il n'est pas perçu de frais de justice. Ayant partiellement obtenu gain de cause, le recourant a droit à des dépens réduits (cf. art. 61 let. g LPGA et 138 al. 2 CPJA). Compte tenu de la difficulté et de l'importance relatives du litige, il se justifie de fixer l'indemnité de partie à laquelle le recourant pourrait prétendre pour ses frais de défense à un montant ex aequo et bono de 1'200 francs, honoraires, débours et TVA inclus, et de réduire ce montant à 1/3 du prix coûtant. Le recourant a ainsi droit à une indemnité de partie de CHF 400.- (éventuelle TVA inclue) qui est mise à la charge de l'autorité intimée.</w:t>
      </w:r>
    </w:p>
    <w:p>
      <w:r>
        <w:t>Tribunal cantonal TC Page 8 de 8 la Cour arrête: I. Le recours est partiellement admis et la décision sur opposition du 16 juillet 2014 est modifiée en ce sens que les prestations complémentaires sont supprimées à partir du mois de février 2015. II. Il n'est pas perçu de frais de justice. III. Il est alloué au recourant une indemnité de partie partielle de CHF 400.-, éventuelle TVA inclue, mise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mars 2016/cso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