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103 vom 21. Juni 2016</w:t>
      </w:r>
    </w:p>
    <w:p>
      <w:r>
        <w:t>FR Kantonsgericht, 2016-06-21, FR</w:t>
      </w:r>
    </w:p>
    <w:p>
      <w:r>
        <w:rPr>
          <w:b/>
        </w:rPr>
        <w:t xml:space="preserve">Quelle: </w:t>
      </w:r>
      <w:r>
        <w:t>https://mcp.opencaselaw.ch/entscheid/fr_gerichte_608_2014_103</w:t>
      </w:r>
    </w:p>
    <w:p>
      <w:r>
        <w:t>FR: FR_GERICHTE 608 2014 103 du 21 juin 2016</w:t>
      </w:r>
    </w:p>
    <w:p>
      <w:r>
        <w:t>IT: FR_GERICHTE 608 2014 103 del 21 giugno 2016</w:t>
      </w:r>
    </w:p>
    <w:p>
      <w:pPr>
        <w:pStyle w:val="Heading2"/>
      </w:pPr>
      <w:r>
        <w:t>Regeste</w:t>
      </w:r>
    </w:p>
    <w:p>
      <w:r>
        <w:t>Arrêt de la IIe Cour des assurances sociales du Tribunal cantonal | Invalidenversicherung</w:t>
      </w:r>
    </w:p>
    <w:p>
      <w:pPr>
        <w:pStyle w:val="Heading2"/>
      </w:pPr>
      <w:r>
        <w:t>Erwägungen</w:t>
      </w:r>
    </w:p>
    <w:p>
      <w:r>
        <w:rPr>
          <w:b/>
        </w:rPr>
        <w:t>E. 25</w:t>
      </w:r>
    </w:p>
    <w:p>
      <w:r>
        <w:t>juin 2015, dont il ressort, selon elle, que ses troubles physiques l'empêchent d'exercer une activité professionnelle même adaptée. Ces documents sont envoyés pour information à l'OAI. La recourante transmet également, le 23 février 2016, un rapport d'un rhumatologue, du 10 février 2016 (avec, annexé, un rapport de ce praticien, du 8 mars 2012), attestant, à son avis, que sur le plan de cette spécialité strictement, la capacité de travail ne doit pas dépasser 50%. Appelé à se déterminer sur cette dernière pièce, l'OAI écrit, le 3 mars 2016, que la décision attaquée l'a été au motif que le rapport d'expertise psychiatrique n'avait pas valeur probante. Il n'est pas procédé à d'autres échanges d'écriture entre les parties. Le 11 mai 2016, Me Sansonnens produit sa liste de frais. Autant qu’utiles à la solution du litige, il sera fait état des arguments développés par les parties à l’appui de leurs conclusions respectives dans les considérants de droit du présent arrêt. en droit 1. Interjeté en temps utile par une assurée, dûment représentée, directement atteinte par la décision querellée et ayant un intérêt digne de protection à ce que celle-ci soit, cas échéant, annulée ou modifiée, le recours est recevable. 2. 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En particulier,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(arrêt TF I 946/05 du 11 mai 2007 publié in SVR 2007 IV no 44 p. 144; ATF 102 V 165 et les autres références citées). La reconnaissance de l'existence d'une atteinte à la santé psychique suppose d'abord la présence d'un diagnostic émanant d'un expert (psychiatre) et s'appuyant lege artis sur les critères d'un système de classification reconnu (ATF 130 V 396 consid. 5.3 et 6).</w:t>
      </w:r>
    </w:p>
    <w:p>
      <w:r>
        <w:t>Tribunal cantonal TC Page 4 de 10 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b)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TF 8C_ 659/2013 du 4 juin 2014 consid. 4.2) En principe, n'est donc décisif, pour la valeur probatoire, ni l'origine, ni la désignation d'un moyen de preuve, mais bien son contenu (ATF 125 V 351 consid. 3a; 122 V 157 coinsid. 1c). Seules les conséquences de l'atteinte à la santé sont prises en compte pour juger de la présence d'une incapacité de gain (art. 7 al. 2 LPGA). En cas d’incapacité de travail de longue durée, l’activité qui peut être exigée de l’assuré peut aussi relever d’une autre profession ou d’un autre domaine d’activité (art. 6 2e ph. LPGA).</w:t>
      </w:r>
    </w:p>
    <w:p>
      <w:r>
        <w:t>Tribunal cantonal TC Page 5 de 10 Enfin,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 c)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d) En vertu de l'art. 28 al. 2 LAI, l’assuré a droit à une rente s’il est invalide à 40% au moins. La rente est échelonnée comme: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3. Le litige porte sur le droit de l'assurée à une rente AI, singulièrement sur la question de savoir si les troubles l'affectant sont de nature à avoir une influence sur sa capacité de travail et de gain; la recourante requiert en outre que le Tribunal ordonne une expertise médicale psychiatrique ou renvoie le dossier pour que l'OAI procède à une mise en œuvre de celle-ci. a) L'intéressée a fondé son recours sur la seule remise en cause de l'expertise psychiatrique du Dr C.________, FMH psychiatrie et psychothérapie, à laquelle elle dénie toute valeur probante, ce que conteste l'OAI. La Cour relève ce qui suit: Selon ce qu'elles indiquent elles-mêmes (cf. p. 4), les Directives auxquelles se réfère la recourante visent avant tout un rôle de recommandations et peuvent servir dans l'évaluation d'une expertise; elles n'ont en revanche pas le caractère de loi absolue que semble leur attribuer la recourante, qui soutient, de façon quelque peu étonnante, que le seul fait que la durée de son entretien avec l'expert-psychiatre ne soit pas mentionnée dans le rapport d'expertise suffit à justifier que celle-ci soit écartée du dossier. L'on rappellera que ce qui est déterminant ici, c'est le contenu de cette expertise psychiatrique, et en particulier le point de savoir si elle remplit toutes les exigences formelles, rappelées plus haut, auxquelles la jurisprudence soumet la valeur probante d'un tel document. Dit autrement, la seule allégation de l'assurée – faite qui plus est plusieurs mois après l'entretien du 24 juin 2013, ce qui n'exclut pas une certaine imprécision dans les souvenirs – que celui-ci aurait été effectué en un peu moins d'une heure ne justifierait pas, même si avérée, de considérer que ce temps n'était pas "approprié à l'investigation" (ch. 3 des Directives, p. 12). Cela témoignerait d'ailleurs plutôt d'une certaine efficacité de l'expert, rien qu'au vu des renseignements, non remis en cause par la recourante, récoltés durant ce laps de temps. En tout état de cause, il n'y a pas lieu de nier toute valeur probante à l'expertise de ce seul fait. La durée d'un entretien dans le cadre d'une expertise n'est pas à elle seule fonction de la qualité du contenu de celle-ci.</w:t>
      </w:r>
    </w:p>
    <w:p>
      <w:r>
        <w:t>Tribunal cantonal TC Page 6 de 10 De même, des tests psychologiques ne sont pas indispensables à l'établissement d'une expertise psychiatrique et n'ont, cas échéant, que valeur d'indice ou d'aide au diagnostic, de complément à l'examen clinique. Au demeurant, c'est à l'expert lui-même, et non à la personne expertisée, de déterminer quelle sont les méthodes d'investigation les plus opportunes dans le cadre du mandat d'expertise qui lui est confié et compte tenu de la situation médicale qu'il a à examiner (cf. par ex. art. 49 al. 1 RAI). A ce stade déjà, le grief de la recourante selon lequel cette expertise serait sans valeur probante aucune et devrait d'emblée être écartée du dossier doit être rejeté. S'agissant de son contenu même, ceci: L'expert-psychiatre, dans son rapport du 1er juillet 2013 (dos. OAI 109), ne retient aucune atteinte avec répercussion sur la capacité de travail; sans répercussion sur cette dernière, il diagnostique une dysthymie (F34.1); il n'y a pas de limitations fonctionnelles à observer. L'examen mené "ne met pas en évidence de maladie psychiatrique responsable d'une atteinte à la capacité de travail de longue durée" (p. 7). Contrairement à ce que soutient la recourante, mais sans (guère) l'étayer, ce diagnostic et ces conclusions quant à la capacité de travail reposent sur un examen complet, approprié à la situation de l'assurée, et conforme aux exigences de la jurisprudence. Il y est en particulier tenu compte de l'ensemble du dossier assécurologique et l'expert s'est prononcé, toujours de façon convaincante et probante, quant aux appréciations d'autres médecins, et notamment de la psychiatre traitante et de la doctoresse généraliste traitante. Une telle évaluation complète ne saurait être remise en cause au seul motif d'une opinion divergente d'autres médecins, hormis si ceux-ci mentionnent des éléments objectivement vérifiables, ignorés dans le cadre de l'expertise et suffisamment pertinents pour remettre en cause les conclusions de celle-ci ou établir son caractère objectivement incomplet. Or, en l'espèce, la recourante se borne à renvoyer aux rapports de la Dresse D.________, FMH médecine interne générale, – et non à celui de sa psychiatre traitante, la Dresse E.________, FMH psychiatrie et psychothérapie –, indiquant que le 17 février 2014, cette praticienne "s'oppose fermement au diagnostic psychiatrique et en particulier à la qualification de personnalité histrionique", "se demandant si l'expert a décrit réellement le caractère et l'apparence de la recourante et s'il ne se trompe dès lors pas tout simplement de personne…". La Cour peine à y voir là une argumentation précise montrant pourquoi l'avis de la Dresse D.________ serait, d'un point de vue objectif, mieux fondé que celui de l'expert-psychiatre. Dans son rapport du 17 février 2014 (dos. OAI 134), la doctoresse précitée, bien que non spécialiste en la matière, émet un certain nombre de "[c]onsidérations psychiatriques", décrit un "status psychiatrique" et remet en question tant le rapport de la Dresse E.________ que l'expertise psychiatrique. Des diagnostics ne sont pas véritablement posés, hormis la mention de troubles anxieux et dépressifs, déjà évoqués par cette praticienne (cf. son rapport du 10 septembre 2012, dos. OAI 53: état anxio-dépressif sévère, là où la psychiatre traitante ne voyait que des troubles anxieux [sans précision] F41.9 [cf. son rapport du 14 août 2012, dos. OAI 35, dans lequel la spécialiste ne soutient au reste pas que cette atteinte serait très symptomatique et entraînerait une incapacité de travail, mais renvoie quant à ce dernier point à l'avis du médecin généraliste…), et sur lesquels le Dr C.________ s'est expressément positionné. Celui-ci fit de même s'agissant de la personnalité anankastique diagnostiquée par la Dresse E.________, laquelle est critiquée par la Dresse D.________ tout autant que celle histrionique retenue par l'expert-psychiatre. Au</w:t>
      </w:r>
    </w:p>
    <w:p>
      <w:r>
        <w:t>Tribunal cantonal TC Page 7 de 10 demeurant, s'agissant de cette dernière, outre qu'on ne voit pas en quoi l'origine J.________ de l'intéressée empêcherait qu'un spécialiste la retienne, l'on soulignera que l'expert-psychiatre a précisé que ces "traits de personnalité n'en constituent pas pour autant un trouble de personnalité" (p. 5) et qu'ils ne constituent donc pas non plus une atteinte psychiatrique invalidante, de sorte que ce point n'est en tout état de cause pas déterminant. En outre, la plainte d'une importante fatigue n'a nullement été ignorée dans l'expertise bi-disciplinaire (cf. également Dresse E.________, rapport précité: limitations fonctionnelles: angoisses obsessionnelles autour du trouble du sommeil); elle n'est pour autant absolument pas propre à justifier médicalement une incapacité de travail totale et définitive telle que retenue par la Dresse D.________. Quant au fait que la médication apportée par celle-ci ait pu améliorer le sommeil de sa patiente, ainsi que le mentionne le SMR le 2 avril 2014 (dos. OAI 136), c'est précisément un élément positif à retenir et qui montre que cette atteinte n'a en tout état de cause pas un effet invalidant et durable sur la capacité de gain. En définitive, cet avis de la Dresse D.________ constitue surtout l'exposé d'un point de vue personnel de la situation, sans explications ni diagnostics précis et fondés sur l'observation clinique, démontrant pourquoi, médicalement, la symptomatologie présentée par l'assurée l'empêcherait, objectivement, totalement d'exercer toute activité adaptée conformément à ce que retenu au terme de l'expertise bi-disciplinaire. Enfin, il sied de prendre en compte avec une certaine retenue l'avis de ce médecin traitant, exprimé qui plus est au titre d'objections à un projet de décision et contresignées par sa patiente. Il ressort du dossier et de ce qui précède qu'aucun élément ne permet de considérer que l'expertise psychiatrique serait entachée de contradictions manifestes, méconnaîtrait des éléments cliniques ou des diagnostiques essentiels. Rien n'induit non plus à retenir que le point de vue de la doctoresse généraliste traitante serait objectivement mieux fondé que celui de l'expert psychiatrie ou fonderait, par son contenu, la nécessité d'une mise en œuvre d'un complément d'instruction sous la forme d'une surexpertise. Pour la Cour, aucune atteinte psychiatrique en soi significativement invalidante et pouvant justifier une incapacité de travail durable n'existe dans cette situation. Le grief de la recourante quant à la valeur probante de l'expertise psychiatrique se révèle ainsi mal fondé. Le dossier de la cause est complet et permet à l'Autorité de céans de se prononcer en toute connaissance de cause. Il n'est pas nécessaire, respectivement, d'ordonner une nouvelle expertise psychiatrique, la requête de la recourante devant dès lors être rejetée, ni de retourner le dossier à l'OAI à cet effet (appréciation anticipée des preuves; ATF 140 I 285 consid. 6.3.1 et les références). L'on ajoutera qu'on ne peut pas s'empêcher de relever que des facteurs – dont ne doit pas répondre l'assurance-invalidité – psychosociaux et socioculturels imprègnent clairement cette situation, en particulier l'influence que peut avoir le fait que l'assurée estime avoir vécu du mobbing dans son activité auprès de I.________ (cf. 1er entretien et évaluation précoce du 17 septembre 2012, dos. OAI 51, p. 3; formulaires de cet employeur du 13 janvier 2012, dos. OAI 77, et du 18 octobre 2012, dos. OAI 83), que son époux bénéficie depuis plusieurs années d'une rente AI entière (problématique de douleurs lombaires évoquée), qu'elle lui voue des soins depuis (cf. infra), s'occupant également (quasiment exclusivement) des activités ménagères, et que des difficultés financières ont été exprimées par le couple.</w:t>
      </w:r>
    </w:p>
    <w:p>
      <w:r>
        <w:t>Tribunal cantonal TC Page 8 de 10 b) S'agissant du plan somatique, ceci: Ainsi que dit, le recours ne contient aucune remise en cause de l'expertise rhumatologique du Dr F.________, FMH rhumatologie et médecine interne générale (rapport du 28 juin 2013, dos. OAI 120). C'est exclusivement le volet psychiatrique de l'expertise bi-disciplinaire qui est attaqué. L'expert-rhumatologue retient, comme diagnostic avec répercussion sur la capacité de travail, un syndrome lombovertébral récurent chronique sans signe radiculaire irritatif ou déficitaire, avec une minime discopathie L5–S1 et antérolysthésis L5-S1 grade I, stable; sans répercussion sur cette capacité: des gonalgies bilatérales sans signes méniscaux avec minime gonarthrose interne gauche; un syndrome polyinsertionnel douloureux récurrent; une hypertension artérielle; un status post cholécystectomie et hystérectomie en 2006; la ménopause depuis 2012. "Du point de vue rhumatologique, depuis mars 2010, (…) une reprise progressive de son activité professionnelle aurait raisonnablement pu être exigée." Au terme de l'analyse bi-disciplinaire, la capacité de travail retenue est de 80% dans l'ancienne activité en évitant de manière répétitive des ports de charges avec long bras de levier de plus de 5 à 10 kg, et à 100% dans une adaptée, en évitant les mouvements répétitifs en porte-à-faux avec long bras de levier, les ports de charges de plus de 5 à 10 kg. Pour la Cour, il n'y a effectivement pas d'élément propre à justifier une contestation de l'expertise rhumatologique, respectant également les exigences jurisprudentielles, avec notamment une prise en compte des rapports médicaux figurant au dossier. L'expert s'est dûment prononcé sur l'incidence sur la capacité de travail des diagnostics posés, en admettant une pour la discopathie L5-S1, mais la niant pour les autres, dont le syndrome polyinsertionnel douloureux. Aucun élément médical au dossier ne justifie une remise en cause de ces conclusions; la recourante ne le fait d'ailleurs pas. Certes, celle-ci a-t-elle, le 3 juillet 2015, produit un rapport du 25 juin 2015, du chiropraticien G.________ – qui n'est pas un médecin (spécialiste) –, puis, toujours de façon spontanée, le 23 février 2016, un rapport du rhumatologue traitant, le Dr H.________, FMH médecine interne et rhumatologie, du 10 février 2016, faisant respectivement suite à des demandes du 16 mai 2015 et du 15 janvier 2016 de son mandataire. On en saurait cependant rien en tirer pour les motifs suivants: Tout d'abord, la Cour de céans n’a pas à prendre en considération des modifications de droit ou de l’état de fait postérieures à la date déterminante de la décision litigieuse (cf. ATF 132 V 215 consid. 3.1.1), ici, celle du 14 mai 2014. Or, ces deux pièces sont postérieures à dite décision, n'indiquent rien quant à la période de suivi prise en compte, ni sa fréquence, et quant à la date à partir duquel des diagnostics avec effet sur la capacité de travail durable et déterminants peuvent, selon eux, être retenus et dans quelle mesure. Ils expriment en substance des limitations fonctionnelles dûment prises en compte déjà par l'expert rhumatologique et n'indiquent en rien pourquoi l'analyse circonstanciée effectuée par celui-ci et ses conclusions quant à la capacité de travail devraient être remises en question. Il apparaît d'ailleurs que le Dr H.________ ignore l'existence (déjà) de cette expertise dont il appelle de ses vœux la mise en place. A noter encore les divergences entre les différents médecins et chiropraticien suivant l'assurée, la Dresse D.________ estimant absolument nulle la capacité de travail dans toute activité, le chiropraticien G.________, à deux ou trois heures par jour – ce qui est déjà inférieur à ce que sa patiente elle-même a indiqué aux experts (activité "ménagère" représentant un 80%), et le Dr H.________, une "de 50% au moins" dans une activité adaptée. Enfin, ce dernier, d'une part, mentionne qu'une hypersensibilité des tendons diffuse est un frein</w:t>
      </w:r>
    </w:p>
    <w:p>
      <w:r>
        <w:t>Tribunal cantonal TC Page 9 de 10 dans l'activité de femme de ménage, mais qu'il lui est cependant impossible de pronostiquer une capacité de travail à long terme dans cette activité, et, d'autre part, renvoie à son rapport antérieur du 8 mars 2012, lequel fut précisément pris en compte par l'expert rhumatologue, sans argumenter davantage quant à ses diagnostics et notamment quant à la survenance d'une modification notable et pertinente de ceux-ci relativement à la capacité de travail. Pour la Cour, il n'y a dès lors pas de motifs non plus de s'écarter des examens et conclusions de l'expert-rhumatologue – ni de celles retenues au terme de l'expertise bi-disciplinaire. Au surplus, l'on relèvera que dans le cadre de l'instruction de la requête d'assistance judiciaire (cf. décision du 21 juillet 2014), il est apparu que l'intéressée perçoit, depuis 2004, d'une fondation pour les soins et l'aide à domicile, pour l'aide régulière, importante et durable qu'elle fournit à son époux, une indemnité journalière qui a été réduite en 2009 de 100% à 80%, taux qu'elle a précisément indiqué relativement à son activité ménagère. Cela représente un indice de plus que moyennant le respect de limitations fonctionnelles, elle est en mesure d'exercer, respectivement, à 80% son ancienne activité de femme de ménage ou à 100% dans une adaptée. A noter d'ailleurs la mise en exergue dans l'expertise bi-disciplinaire d'une discordance entre, d'une part, l'ampleur des plaintes formulées et les prétendues gravité et incidence des douleurs ressenties sur le quotidien de l'assurée, qui l'amèneraient à n'exercer quasiment plus aucune tâche ou activité, y compris sociale (cf. le rapport de la Dresse D.________ du 17 février 2014: l'assurée serait "au repos pratiquement toute la journée"), et, d'autre part, l'observation clinique des experts ainsi que le descriptif de ses journées donné par l'assurée elle-même (absence de manifestation de douleur et de prise de position algique durant les entretiens, dont un de deux heures trente, multiples activités quotidiennes effectuées, cf. notamment expertise rhumatologique, p. 3 et 10, et expertise psychiatrique, p. 3 et 4). 4. Au vu de ce qui précède, le recours, mal fondé, doit être rejeté, et la décision attaquée, confirmée, aucun motif de s'écarter des conclusions de l'expertise bi-disciplinaire n'existant, en particulier. La procédure n'étant pas gratuite, les frais de justice, par CHF 800.-, doivent être mis à la charge du recourant, qui succombe. Ils ne seront cependant pas prélevés, celle-ci ayant été mise au bénéfice de l'assistance judiciaire totale. L'indemnité allouée à Me Benoît Sansonnens, en sa qualité de défenseur d'office, sera fixée, compte tenu de la liste de frais produite par ce dernier le 11 mai 2016, en fonction du temps consacré à l'affaire, de la difficulté et de l'importance relatives du litige, ainsi que des opérations nécessaires à la conduite de la présente procédure, à CHF 2'526.05, à raison de 12 heures et 17 minutes à CHF 180.-, soit un montant de CHF 2'211.-, de CHF 127.95 de débours, et de CHF 187.10 au titre de la TVA à 8%. Elle sera mise intégralement à la charge de l'Etat de Fribourg.</w:t>
      </w:r>
    </w:p>
    <w:p>
      <w:r>
        <w:t>Tribunal cantonal TC Page 10 de 10 la Cour arrête: I. Le recours est rejeté. II. Les frais de procédure, par CHF 800.- sont mis à la charge de la recourante. Ils ne sont toutefois pas prélevés en raison de l'assistance judicaire gratuite totale qui lui a été accordée. III. L’indemnité allouée à Me Benoît Sansonnens, avocat à Fribourg, en sa qualité de défenseur d’office, est fixée à CHF 2'211.-, plus CHF 126.95 de débours, et CHF 187.10 au titre de la TVA à 8%, soit à un total de CHF 2'526.05, et mise intégralement à la charge de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juin 2016/djo Président-remplaçant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