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55 vom 16. Dezember 2014</w:t>
      </w:r>
    </w:p>
    <w:p>
      <w:r>
        <w:t>FR Kantonsgericht, 2014-12-16, FR</w:t>
      </w:r>
    </w:p>
    <w:p>
      <w:r>
        <w:rPr>
          <w:b/>
        </w:rPr>
        <w:t xml:space="preserve">Quelle: </w:t>
      </w:r>
      <w:r>
        <w:t>https://mcp.opencaselaw.ch/entscheid/fr_gerichte_608_2013_55</w:t>
      </w:r>
    </w:p>
    <w:p>
      <w:r>
        <w:t>FR: FR_GERICHTE 608 2013 55 du 16 décembre 2014</w:t>
      </w:r>
    </w:p>
    <w:p>
      <w:r>
        <w:t>IT: FR_GERICHTE 608 2013 55 del 16 dicembre 2014</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dûment représentée et directement touchée par la décision attaquée, le recours est recevable.</w:t>
      </w:r>
    </w:p>
    <w:p>
      <w:r>
        <w:rPr>
          <w:b/>
        </w:rPr>
        <w:t>E. 2</w:t>
      </w:r>
    </w:p>
    <w:p>
      <w:r>
        <w:t>a) A teneur de l’art. 8 al. 1 de la loi fédérale du 6 octobre 2000 sur la partie générale du droit des assurances sociales (LPGA; RS 830.1), applicable par le biais de l’art. 1 al. 1 de la loi fédérale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Pour fixer le revenu d'invalide est déterminante la question de savoir si l'assuré peut économiquement utiliser ses forces de travail résiduelles. Font partie du marché du travail équilibré les "emplois de niche" pour personnes handicapées (Nischenarbeitsplätze), soit les emplois ou offres d'emploi destinées aux handicapés avec soutien social de la part de l'employeur. Par ailleurs, on ne peut plus parler d'opportunité de travail lorsque l'activité convenable n'est possible que sous une forme tellement restreinte que le marché du travail équilibré ne la connaît pratiquement pas ou lorsqu'elle ne serait possible que moyennant un revenu de complaisance, et que, par conséquent, trouver une telle place de travail apparaît a priori comme étant exclu (Tribunal fédéral, arrêt non publié B. [9C_910/2001] du 30 mars 2012, consid. 3.1 et 3.2, et les références citées). c) L’invalidité des assurés qui n’exercent pas d’activité lucrative et dont on ne peut raisonnablement exiger qu’ils en entreprennent une est évaluée, en dérogation à l’art. 16 LPGA,</w:t>
      </w:r>
    </w:p>
    <w:p>
      <w:r>
        <w:t>Tribunal cantonal TC Page 4 de 9 en fonction de l’incapacité d’accomplir leurs travaux habituels (méthode spécifique; art. 28a al. 2 LAI).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(Tribunal fédéral, arrêt non publié dans la cause K. [9C_693/2007] du 2 juillet 2008 consid. 3; ATF 128 V 93). Pour satisfaire à l'obligation de réduire le dommage (cf. ATF 133 V 504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(Tribunal fédéral, arrêt non publié dans la cause G.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U. MEYER-BLASER, Rechtsprechung des Bundesgerichts zum IVG, Zurich 1997, p. 222). d) L'art. 28a al. 3 LAI consacre la méthode mixte d'évaluation de l'invalidité pour les cas où l'assuré exerce une activité lucrative à temps partiel ou travaille sans être rémunéré dans l’entreprise de son conjoint. Cette méthode a été souvent remise en cause mais confirmée à plusieurs reprises par le Tribunal fédéral, dont récemment encore in ATF 137 V 334.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w:t>
      </w:r>
    </w:p>
    <w:p>
      <w:r>
        <w:t>Tribunal cantonal TC Page 5 de 9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Enfin soulignons encore que l'incapacité de travail ne se confond pas avec la perte de gain subie par l'assuré dans le cas où le taux d'activité professionnel n'est pas de 100% (Tribunal fédéral, arrêt non publié I 151/06 du 29 juin 2007). Il incombe en effet aux assurés exerçant une activité professionnelle à temps partiel de mettre à profit toute la capacité de travail raisonnablement exigible (ATF 123 V 230 consid. 3c et les références),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Tribunal fédéral, arrêt I 156/04 du 13 décembre 2005 publié in SVR 2006 IV no 42 p. 151 et la référence citée). e)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Bien que les rapports d'examen réalisés par un SMR en vertu de l'art. 49 al. 2 RAI ne soient pas des expertises au sens de l'art. 44 LPGA et ne soient pas soumis aux mêmes exigences formelles,</w:t>
      </w:r>
    </w:p>
    <w:p>
      <w:r>
        <w:t>Tribunal cantonal TC Page 6 de 9 ils peuvent néanmoins revêtir la même valeur probante que des expertises, dans la mesure où ils satisfont aux exigences définies par la jurisprudence en matière d'expertise médicale.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de l'assurance (Tribunal fédéral, arrêt non publié G. [9C_500/2011] du 26 mars 2012 consid. 3.1). f)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En cas d'absence de preuve, c'est à la partie qui voulait en déduire un droit d'en supporter les conséquences (ATF 117 V 261 consid. 3). L'autorité amenée à statuer peut légitimement renoncer à accomplir des actes complémentaires d'instruction lorsqu'elle est persuadée que ceux-ci ne changeront rien à sa conviction (sur l'appréciation anticipée des preuves, cf. notamment Tribunal fédéral, arrêt non publié T. [9C_986/2008] du 29 mai 2009 consid. 3 et les références).</w:t>
      </w:r>
    </w:p>
    <w:p>
      <w:r>
        <w:rPr>
          <w:b/>
        </w:rPr>
        <w:t>E. 3</w:t>
      </w:r>
    </w:p>
    <w:p>
      <w:r>
        <w:t>En l'espèce, est litigieux le taux d'invalidité de la recourante. Plus particulièrement, il s'agit d'examiner si une expertise médicale pluridisciplinaire doit être ordonnée et si l'enquête ménagère est arbitraire. a) La recourante estime tout d'abord qu'aucune évaluation somatique de tous ses troubles physiques n'a été effectuée, tous les diagnostics n'ayant pas été pris en compte, et que l'expertise rhumatologique réalisée le 9 janvier 2013 par la Dresse C.________, spécialiste FMH en rhumatologie et médecine physique et réadaptation et médecin du Service médical régional Berne/Fribourg/Soleure (ci-après SMR), n'est pas probante. La Cour de céans constate cependant que l'expertise (Dossier OAI p. 208) se fonde sur des examens complets et a été établie en pleine connaissance du dossier, après que l'experte ait reçu personnellement la recourante. Elle prend également en considération les plaintes exprimées et les points litigieux importants ont fait l'objet d'une étude fouillée. Enfin, l'appréciation médicale est claire et les conclusions de l'experte dûment motivée. Dès lors que l'expertise est en tous points conforme aux réquisits jurisprudentiels, elle a en soi pleine valeur probante. Le fait qu'elle ait été établie par un médecin du SMR n'y change rien. Il reste à examiner si ses conclusions sont convaincantes. Contrairement à ce que soutient la recourante, l'expertise tient compte de tous les diagnostics posés. Elle conclut cependant que l'obésité morbide et le status post arthroscopie du genou gauche ne sont pas invalidants, ce qui est confirmé par les pièces du dossier. Quant à l'intolérance au glucose, à l'hyperuricémie, à la mononucléose infectieuse en avril 2012, au status après cholécystectomie en 2002 et à l'hypothyroïdie substituée, relevés par le seul médecin-traitant et pris en compte dans l'expertise, il ressort du dossier médical que la recourante ne s'en plaint pas.</w:t>
      </w:r>
    </w:p>
    <w:p>
      <w:r>
        <w:t>Tribunal cantonal TC Page 7 de 9 De plus, si son médecin-traitant dresse la liste des diagnostics, il n'indique pas quelle serait leur influence sur la capacité de travail (Dossier OAI p. 138s). S'agissant de celle-ci, les médecins sont divisés entre ceux qui estiment que l'activité antérieure reste possible et ceux qui sont d'avis que seule une activité adaptée peut être exigée. En effet, le Dr D.________, spécialiste FMH en médecine interne générale et médecin-traitant, indique le 16 octobre 2009 que la reprise du travail est possible à 100 % dès le 1er août 2009, et le Dr E.________, spécialiste FMH en neurologie, mentionne le 13 juillet 2012 que l'activité exercée est exigible à 80 % (Dossier OAI p. 65, p. 133). D'un autre côté, le Dr F.________, spécialiste FMH en chirurgie orthopédique et traumatologie de l'appareil locomoteur, retient le 7 juin 2011 qu'un reclassement dans une activité adaptée est exigible mais précise ne pas être sûr que l'assurée arrivera à reprendre à 100 % (Dossier OAI p. 108). Le Dr G.________, spécialiste FMH en chirurgie orthopédique et traumatologie de l'appareil locomoteur, est du même avis, l'assurée pouvant retrouver une activité quantitativement égale à ce qu'elle faisait avant les opérations (Dossier OAI p. 120). Enfin, le Dr H.________, spécialiste FMH en anesthésiologie et médecin du SMR, retient qu'une activité adaptée à 80 %, baisse de rendement incluse, est exigible (Dossier OAI p. 169). La Cour constate dès lors qu'aucune incapacité totale de travail n'est médicalement attestée. En particulier, si le médecin-traitant indique qu'elle est inapte dès août 2010 ad vitam aeternam dans l'activité antérieure, il ne précise pas ce qu'il en est dans une activité adaptée (Dossier OAI, p. 146). Seuls le Dr H.________ et l'experte se positionnent clairement sur ce point. Tous deux retiennent une capacité de travail de 80 % dans une activité adaptée, baisse de rendement comprise. L'experte précise encore que seules les activités ménagères légères sont encore possibles (Dossier OAI p. 168 et p. 197). Par ailleurs, la recourante se trompe lorsqu'elle estime que le rapport du SMR du 14 septembre 2012 se base uniquement sur le rapport du 13 juillet 2012 du neurologue. En effet, le SMR fait également expressément référence au rapport du rhumatologue tout en précisant les limitations fonctionnelles (Dossier OAI p. 168). Aucun autre rapport ne remettant en cause la capacité de travail retenue, et l'expertise ayant valeur probante, il n'y a pas lieu de s'en écarter. Ainsi, la Cour de céans retient qu'une expertise pluridisciplinaire ou un renvoi à l'OAI ne sont pas nécessaire et qu'une activité adaptée à 80 % est exigible. Le recours est rejeté sur ce point. b) La recourante est également d'avis que l'invalidité ménagère a été calculée de manière arbitraire et sur la base d'une grille d'évaluation dont on ignore comment elle a été établie, et s'étonne que la grille d'évaluation ne soit pas remplie directement par la personne qui a effectué l'enquête ménagère, mais par celle qui rédige la décision attaquée. La Cour constate tout d'abord que la grille d'évaluation a été remplie par la personne qui s'est rendue chez la recourante, de sorte que le reproche à ce sujet tombe à faux. De plus, la grille d'évaluation a été établie selon la Circulaire sur l’invalidité et l’impotence dans l’assurance- invalidité de l'OFAS, qui pose les critères de manière claire et précise. L'enquête a été effectuée au domicile de la recourante par une personne qui a eu connaissance du dossier médical et tient compte des indications de celle-ci. Le contenu du rapport, que la recourante ne conteste pas, est plausible, motivé et détaillé, et ses données correspondent bien aux données médicales objectives (Dossier OAI p. 168). Partant, l'enquête ménagère a été établie de manière conforme à la jurisprudence et le recours doit être rejeté sur ce point également.</w:t>
      </w:r>
    </w:p>
    <w:p>
      <w:r>
        <w:t>Tribunal cantonal TC Page 8 de 9</w:t>
      </w:r>
    </w:p>
    <w:p>
      <w:r>
        <w:rPr>
          <w:b/>
        </w:rPr>
        <w:t>E. 4</w:t>
      </w:r>
    </w:p>
    <w:p>
      <w:r>
        <w:t>Quant au certificat médical du 19.3.2014 et au courrier de la recourante du 25 mars 2014 relatifs à un cancer, la Cour constate qu'ils ont été établis et concernent un trouble apparu postérieurement à la décision litigieuse, de sorte qu'ils n'ont pas à être pris en compte dans la présente procédure. Ils pourront cependant l'être dans le cadre de la nouvelle demande déposée le 27 mars 2014 par la recourante.</w:t>
      </w:r>
    </w:p>
    <w:p>
      <w:r>
        <w:rPr>
          <w:b/>
        </w:rPr>
        <w:t>E. 5</w:t>
      </w:r>
    </w:p>
    <w:p>
      <w:r>
        <w:t>a) Au vu de ce qui précède, le recours doit être rejeté et la décision attaquée confirmée. b) La procédure n'étant pas gratuite, les frais de justice sont fixés à 800 francs et sont mis à la charge de la recourante qui succombe. Vu la décision d'octroi de l’assistance judiciaire totale du 1er mai 2013, le paiement ne sera toutefois pas exigé de sa part. c) Agissant sous le couvert de l'assistance judiciaire totale, la recourante a droit à ce que ses dépens soient indemnisés par l'Etat. Conformément aux art. 146 ss du code du 23 mai 1991 de procédure et de juridiction administrative (CPJA; RSF 150.1) et du tarif du 17 décembre 1991 des frais de procédure et des indemnités en matière de juridiction administrative (Tarif/JA; RSF 150.12), compte tenu de sa liste de frais produite le 5 décembre 2014, de la difficulté et de l'importance relatives du litige, il se justifie de fixer l'équitable indemnité à laquelle elle a droit à 3'525 fr. 40 à raison de 16,55 heures (1'015 minutes) à 180 francs, soit à un montant de 3'045 francs, plus 218 fr. 55 au titre de débours, plus 261 fr. 85 au titre de la TVA à 8 %. Cette indemnité est mise dans son intégralité à la charge de l'Etat.</w:t>
      </w:r>
    </w:p>
    <w:p>
      <w:r>
        <w:t>Tribunal cantonal TC Page 9 de 9 la Cour arrête: I. Le recours est rejeté. II. Les frais de justice par 800 francs sont mis à la charge de la recourante; ils ne lui sont toutefois par réclamés. III. Il est alloué à la recourante une indemnité de partie fixée à 3'045 francs, plus 218 fr. 55 au titre de débours, plus 261 fr. 85 au titre de la TVA à 8 %, soit à 3'525 fr. 40. Cette indemnité est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décembre 2014/cso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