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51 vom 18. Juni 2015</w:t>
      </w:r>
    </w:p>
    <w:p>
      <w:r>
        <w:t>FR Kantonsgericht, 2015-06-18, FR</w:t>
      </w:r>
    </w:p>
    <w:p>
      <w:r>
        <w:rPr>
          <w:b/>
        </w:rPr>
        <w:t xml:space="preserve">Quelle: </w:t>
      </w:r>
      <w:r>
        <w:t>https://mcp.opencaselaw.ch/entscheid/fr_gerichte_608_2013_51</w:t>
      </w:r>
    </w:p>
    <w:p>
      <w:r>
        <w:t>FR: FR_GERICHTE 608 2013 51 du 18 juin 2015</w:t>
      </w:r>
    </w:p>
    <w:p>
      <w:r>
        <w:t>IT: FR_GERICHTE 608 2013 51 del 18 giugno 2015</w:t>
      </w:r>
    </w:p>
    <w:p>
      <w:pPr>
        <w:pStyle w:val="Heading2"/>
      </w:pPr>
      <w:r>
        <w:t>Regeste</w:t>
      </w:r>
    </w:p>
    <w:p>
      <w:r>
        <w:t>Arrêt de IIe Cour des assurances sociales du Tribunal cantonal | Alters- und Hinterlassenenversicherung</w:t>
      </w:r>
    </w:p>
    <w:p>
      <w:pPr>
        <w:pStyle w:val="Heading2"/>
      </w:pPr>
      <w:r>
        <w:t>Erwägungen</w:t>
      </w:r>
    </w:p>
    <w:p>
      <w:r>
        <w:rPr>
          <w:b/>
        </w:rPr>
        <w:t>E. 21</w:t>
      </w:r>
    </w:p>
    <w:p>
      <w:r>
        <w:t>mars 2013, la Caisse a confirmé sa décision et supprimé l'effet suspensif à un éventuel recours. B. Contre cette décision, A.________ Sàrl interjette recours le 2 avril 2013, régularisé le 17 avril 2013, devant le Tribunal cantonal en concluant, en substance, à ce que B.________ soit considéré comme indépendant et à ce qu'elle ne soit pas tenue à verser le montant 15'920 fr. 50. A l'appui de ses conclusions, la recourante souligne que B.________ a émis des factures pour les travaux de sous-traitance. Elle ajoute qu'il a travaillé en qualité d'indépendant avant d'ouvrir sa propre société C.________ Sàrl. Dans ses observations du 8 mai 2013, la Caisse conclut au rejet du recours. Elle soutient que B.________ a été affilié comme personne de condition indépendante jusqu'au 31 octobre 2006 et que la reprise du salaire de celui-ci a été faite suite à un contrôle d'employeur effectué par son service interne de révision. Invitée à déposer des contre-observations par courrier du 15 mai 2013, la recourante n'y a pas donné suite. Pour sa part, le courrier recommandé du 27 avril 2015, appelant en cause B.________, n'a pas été réclamé par le destinataire. Ce courrier lui a par la suite été adressé sous pli simple. Il n'a pas été ordonné d'autres échanges d'écritures entre les parties. Il sera fait état des arguments, développés par elles à l'appui de leurs conclusions respectives, dans les considérants de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attaquée et valablement représentée par ses organes, le recours est recevable. 2. Selon la jurisprudence,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(ATF 113 V 1; ATFA 1965 p. 239 consid. 1 et 3; RCC 1979 p. 116 consid. 1b, 1978 p. 62 consid. 3a). Il ressort de la décision contestée que la Caisse intimée n'a pas communiqué à B.________ tant la décision du 13 décembre 2012 que celle sur opposition du 21 mars 2013. Compte tenu du nombre de personnes concernées et de l'importance du montant de cotisations réclamées, la caisse ne pouvait renoncer à lui communiquer sa décision sans l'inviter à s'exprimer sur le bien-fondé de ses prétentions. Il s'agit ici d'une violation du droit d'être entendu. Cependant, la Cour de céans a remédié à cette violation en appelant en cause B.________ par courrier recommandé du 27 avril 2015, non réclamé, et renvoyé par pli prioritaire le 11 mai 2015. A ce titre, la Cour peut entrer en matière sur le fond du litige. 3. a) Selon l'art. 5 LAVS,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L'art. 7 du règlement du 31 octobre 1947 sur l'assurance-vieillesse et survivants (RAVS; RS 831.101) donne une liste non exhaustive des éléments du salaire déterminant pour le calcul des cotisations. L'art. 9 al. 1 LAVS prescrit pour sa part que le revenu provenant d'une activité indépendante comprend tout revenu du travail autre que la rémunération pour un travail accompli dans une situation dépendante.</w:t>
      </w:r>
    </w:p>
    <w:p>
      <w:r>
        <w:t>Tribunal cantonal TC Page 4 de 7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161 consid. 1 p. 162 et les références). Les indices caractéristiques d'une activité indépendante résident dans la mise en œuvre d'investissements d'une certaine importance, l'usage de ses propres locaux de travail et l'engagement de son propre personnel (VSI 1998 p. 233 consid. 4a; ATF 119 V 161 / VSI 1993 p. 226 consid. 3b). Le risque particulier de l'entrepreneur découle du fait que, quel que soit le résultat de son activité, il encourt les pertes, supporte le risque d'encaissement et de ducroire, supporte les frais généraux, agit en son propre nom et pour son propre compte, se procure lui-même les mandats, occupe du personnel et utilise ses propres locaux commerciaux (GREBER/DUC/SCARTAZZINI, op. cit., n° 111 ad art. 5). D'une manière générale, il n'y a risque couru par une personne indépendante que si des investissements importants doivent être effectués ou si des salaires doivent être payés à du personnel (RCC 1986 p. 347). Le fait que l'on ait à supporter les risques de maladie, d'accident ou d'heures perdues, ou l'obligation contractuelle de se trouver un remplaçant ne veut pas dire qu'il s'agit forcément d'une activité indépendante (RCC 1992 p. 173; 1989 p. 110; 1957 p. 352). Dans les cas-limites, lorsqu'il y a lieu de décider si l'on est en présence d'une activité lucrative salariée ou d'une activité indépendante, on peut accorder moins d'importance au critère du risque économique et davantage à celui de l'indépendance dans l'organisation du travail (RCC 1986 p. 539). D'autre part, certains rapports de service impliquent par nature que le mandant donne des instructions détaillées au mandataire. Dans de telles circonstances, le rapport de subordination n'acquiert de l'importance que s'il dépasse la mesure habituellement observée en pareille occurrence (GREBER/DUC/SCARTAZZINI, op. cit., n° 103 ad art. 5 et les références).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p. 69 et les références).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w:t>
      </w:r>
    </w:p>
    <w:p>
      <w:r>
        <w:t>Tribunal cantonal TC Page 5 de 7 commandées par la nature du litige et des faits invoqués, faute de quoi elles risquent de devoir supporter les conséquences de l'absence de preuves (ATF 125 V 195 consid. 2 et les références; cf. ATF 130 I 183 consid. 3.2). Selon la jurisprudence et la doctrine, l'autorité administrative ou le juge ne doivent considérer un fait comme prouvé que lorsqu'ils sont convaincus de sa réalité (M. KUMMER, Grundriss des Zivilprozessrechts, 4e éd., Berne 1984, p. 136; F. GYGI, Bundesverwaltungsrechtspflege, 2e éd., Berne 1983,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 En outre,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Tribunal fédéral, arrêts non publiés dans les causes P. [9C_428/2007] du 20 novembre 2007 consid. 4.3.2 et F. [9C_454/2008] du 27 février 2009 consid. 2.2). 4. Est en l'espèce litigieuse la question de la qualification de l'activité exercée par B.________ pour le compte de la recourante au cours de l'année 2010. La recourante joint à ses écritures un questionnaire – rempli, selon ses dires, début 2013 par B.________ – destiné à la Caisse nationale suisse d'assurance en cas d'accident (ci-après: CNA). Dans ce questionnaire, ce dernier indique avoir travaillé en tant que carreleur à titre indépendant de juin 2005 à fin décembre 2010 sous la raison sociale D.________. Il précise qu'il n'était lié par aucune convention ou restriction de faire concurrence, qu'il disposait de ses propres moyens d'exploitation (importants) et qu'il était en mesure de s'organiser librement. S'il ne répond pas à la question de savoir s'il cotisait à une caisse de compensation AVS pour cette activité, il soulignait être affilié à la "Caisse AVS Fribourg" depuis 2005. Ces éléments vont plutôt dans le sens d'une activité indépendante. En revanche, d'autres éléments correspondent plutôt à une activité dépendante. Il précisait ainsi notamment ne pas solliciter régulièrement de travaux, ne pas disposer de ses propres installations, ne pas avoir conclu d'assurances en rapport avec cette activité (notamment responsabilité civile) et ne pas employer de personnel. Il notait aussi un risque uniquement limité à "facture non-payée, perte de travail". Quand bien même la valeur probante de ce questionnaire peut fortement être remise en question, notamment au vu des pièces au dossier (cf. dossier de la Caisse, pièces 15 et 16) et de sa date affirmée de rédaction, largement postérieure à la décision litigieuse, il appert à sa lecture qu'il existe des caractéristiques appartenant aux deux genres d'activités. Cette question ne pouvant de toute manière être tranchée par le biais de ce document, il faut dès lors se demander quels éléments sont prédominants au vu des autres pièces du dossier.</w:t>
      </w:r>
    </w:p>
    <w:p>
      <w:r>
        <w:t>Tribunal cantonal TC Page 6 de 7 La recourante joint aussi à ses écritures un inventaire de matériel et l'extrait d'un contrat d'assurance véhicule. Dans la mesure où le propriétaire des ces équipements et de ce véhicule n'est ni cité ni mentionné dans ces pièces, celles-ci ne permettent pas non plus de trancher la question de la qualification de l'activité professionnelle de B.________. Tout au plus, ces documents pourraient éventuellement attester que ce dernier est propriétaire de ses propres moyens d'exploitation et de l'importance de ceux-ci (environ 12'000 francs, véhicule excepté). Quoi qu'il en soit, même si quelques éléments pourraient plaider pour une activité indépendante, force est toutefois de constater que l'activité de B.________ pour le compte de la recourante doit être considérée comme dépendante. En effet, la recourante produit, à l'appui de son recours, de nombreuses factures de B.________ pour une période s'étendant de février 2010 à mars 2011 et un montant global de plus de 130'000 francs pour l'année 2010. La plupart des factures sont à l'entête E.________, alors même que cette société est radiée tant du Registre du commerce que du compte d'affilié de la Caisse intimée depuis 2006 (cf. dossier de la Caisse, pièces 15 et 16). Seules deux factures comportent le nom ou l'adresse privée de B.________. Selon la recourante, ces factures attestent que B.________ agit en qualité de sous-traitant. Or, au regard de l'importance des montants, il existe manifestement un rapport de dépendance économique entre la recourante et son sous-traitant allégué. A ce titre, le risque encouru par ce dernier s'apparente plus à celui d'un salarié qu'à celui d'un indépendant. En outre, les constats figurant dans le rapport de contrôle de l'employeur du 27 novembre 2012 confirment cette conclusion. Selon ce rapport "il s'avère, suite à nos investigations que: 1. Cette [personne] était effectivement inscrite en raison [indépendante], mais qu'elle a fait faillite en date du 31.10.06. 2. La raison [individuelle] a été radiée au registre du commerce en date du 06.11.06. 3. Par lettre du 07.11.07, notre Caisse a radié son compte avec effet au 31.10.06. 4. Depuis le 01.11.06 à ce jour M. B.________ n'a jamais été affilié auprès d'une caisse de compensation. De plus, suite à notre entretien tél. du 19.11.12 avec [la CNA, cette dernière] nous a confirmé que cette personne n'était pas affiliée auprès de leur Caisse" (cf. dossier de la Caisse, pièce 2). Partant, la Cour constate que l'activité exercée par B.________ pour la société recourante durant l'année 2010 doit être considérée comme une activité dépendante. 5. Au vu de l'ensemble des considérants qui précèdent, le recours, mal fondé, doit être rejeté et la décision querellée confirmée. Il n'est pas perçu de frais de procédure, en application du principe de la gratuité valant en la matière (cf. art. 1 al. 1 LAVS et 61 al. 1 let. a LPGA), bien que l'on puisse fortement s'interroger sur la question de savoir si le présent recours est téméraire. Au vu de l'issue du recours, la recourante n'a pas droit à des dépens.</w:t>
      </w:r>
    </w:p>
    <w:p>
      <w:r>
        <w:t>Tribunal cantonal TC Page 7 de 7 la Cour arrête: I. Le recours de A.________ Sàrl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juin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