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33 vom 27. Oktober 2017</w:t>
      </w:r>
    </w:p>
    <w:p>
      <w:r>
        <w:t>FR Kantonsgericht, 2017-10-27, DE</w:t>
      </w:r>
    </w:p>
    <w:p>
      <w:r>
        <w:rPr>
          <w:b/>
        </w:rPr>
        <w:t xml:space="preserve">Quelle: </w:t>
      </w:r>
      <w:r>
        <w:t>https://mcp.opencaselaw.ch/entscheid/fr_gerichte_607_2017_33</w:t>
      </w:r>
    </w:p>
    <w:p>
      <w:r>
        <w:t>FR: FR_GERICHTE 607 2017 33 du 27 octobre 2017</w:t>
      </w:r>
    </w:p>
    <w:p>
      <w:r>
        <w:t>IT: FR_GERICHTE 607 2017 33 del 27 ottobre 2017</w:t>
      </w:r>
    </w:p>
    <w:p>
      <w:pPr>
        <w:pStyle w:val="Heading2"/>
      </w:pPr>
      <w:r>
        <w:t>Regeste</w:t>
      </w:r>
    </w:p>
    <w:p>
      <w:r>
        <w:t>Urteil des Steuergerichtshofes des Kantonsgerichts | Gewinn- und Kapitalsteuer der juristischen Personen</w:t>
      </w:r>
    </w:p>
    <w:p>
      <w:pPr>
        <w:pStyle w:val="Heading2"/>
      </w:pPr>
      <w:r>
        <w:t>Erwägungen</w:t>
      </w:r>
    </w:p>
    <w:p>
      <w:r>
        <w:rPr>
          <w:b/>
        </w:rPr>
        <w:t>E. 1</w:t>
      </w:r>
    </w:p>
    <w:p>
      <w:r>
        <w:t>Die am 6. Juli 2017 fristgerecht beim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w:t>
      </w:r>
    </w:p>
    <w:p>
      <w:r>
        <w:t>Kantonsgericht KG Seite 3 von 5 Einspracheentscheid vom 6. Juni 2017 ist begründet und enthält Rechtsbegehren (vgl. Art. 140 Abs. 2 DBG; Art. 50 Abs. 2 StHG; Art. 180 Abs. 2 DStG). Die Beschwerdeführerin, Schuldner der in Frage gestellten Steuer, ist durch den angefochtenen Entscheid berührt und hat ein schutz- würdiges Interesse an dessen Aufhebung oder Änderung (vgl. Art. 76 Bst. a des Gesetzes vom 23. Mai 1991 über die Verwaltungsrechtspflege [VRG; SGF 150.1]). Auf die Beschwerde ist somit einzutreten. I. Direkte Bundessteuer (607 2017 33)</w:t>
      </w:r>
    </w:p>
    <w:p>
      <w:r>
        <w:rPr>
          <w:b/>
        </w:rPr>
        <w:t>E. 2</w:t>
      </w:r>
    </w:p>
    <w:p>
      <w:r>
        <w:t>Vorab gilt es zu bemerken, dass nach ständiger Praxis des Bundesgerichts einer Veranla- gung bei periodischen Steuern nur für die betreffende Periode Rechtskraft zukommt; die tatsäch- lichen und rechtlichen Verhältnisse können daher in einem späteren Veranlagungszeitraum anders gewürdigt werden. Die Erwägungen, worauf die Festsetzungen beruhen, haben nur die Bedeutung von Motiven; diese nehmen an der materiellen Rechtskraft der Entscheidung für sich allein grund- sätzlich nicht teil. Rechtskräftig wird deshalb nur die Veranlagung als solche, nicht die rechtlichen Qualifikationen einzelner Posten, die dazu geführt haben. Definitive Veranlagungsverfügungen entfalten Wirkungen, insbesondere Rechtskraftwirkungen, in zeitlicher Hinsicht zudem nur bezüg- lich der Steuerperiode, für die sie ergangen sind (vgl. BGE 140 I 114 E. 2.4.3). Aufgrund der erwähnten Rechtsprechung ist nichts dagegen einzuwenden, dass die Kantonale Steuerverwaltung für die Steuerperiode 2015 eine andere Einschätzung der Veranlagungs- elemente als im Vorjahr vorgenommen hat.</w:t>
      </w:r>
    </w:p>
    <w:p>
      <w:r>
        <w:rPr>
          <w:b/>
        </w:rPr>
        <w:t>E. 3</w:t>
      </w:r>
    </w:p>
    <w:p>
      <w:r>
        <w:t>Die Beschwerdeführerin wehrt sich gegen die Aufrechnung des Mietzinsertrags der Wohnung auf der Bettmeralp, deren Eigentümerin sie ist.</w:t>
      </w:r>
    </w:p>
    <w:p>
      <w:r>
        <w:rPr>
          <w:b/>
        </w:rPr>
        <w:t>E. 3.1</w:t>
      </w:r>
    </w:p>
    <w:p>
      <w:r>
        <w:t>Gemäss Art. 58 Abs. 1 Bst. a und b DBG setzt sich der steuerbare Reingewinn eines Unter- nehmens zusammen aus, einerseits, dem Saldo der Erfolgsrechnung, und, andererseits, allen vor Berechnung des Saldos der Erfolgsrechnung ausgeschiedenen Teilen des Geschäftsergebnisses, die nicht zur Deckung von geschäftsmässig begründetem Aufwand verwendet werden, insbesondere geschäftsmässig nicht begründete Zuwendungen an Dritte. Zu den nicht gutgeschriebenen Erträgen gehören auch die verdeckten Gewinnausschüttungen, also geldwerte Leistungen und Vorteile, die ohne entsprechende Gegenleistung an Personen gewährt werden, die unmittelbar oder mittelbar mit der juristischen Person beteiligungsrechtliche Beziehungen haben. Als geldwerte Leistungen gelten insbesondere Ertragsverzichte zugunsten des Aktionärs oder einer ihm nahestehenden Person, die bei der Gesellschaft zu einer entspre- chenden Kürzung des in der Erfolgsrechnung ausgewiesenen Gewinnes führen (vgl. Urteil BGer 2C_272/2011 vom 5. Dezember 2011 E. 3.3.1). Im Grundsatz ist von der Gestaltungsfreiheit der steuerpflichtigen Person auszugehen. Sind die Schranken, bei deren Überschreiten die Steuer- behörde zwingend einschreiten muss, nicht klarerweise tangiert, bleibt es dabei, dass die Steuer- behörde ihr eigenes Ermessen nicht an die Stelle jenes des Geschäftsführers zu setzen hat. Dementsprechend darf auch das Gericht nur mit Zurückhaltung in den erheblichen Ermessens- spielraum eingreifen, der dem Unternehmen zukommt (vgl. Urteil BGer 2C_272/2011 vom</w:t>
      </w:r>
    </w:p>
    <w:p>
      <w:r>
        <w:rPr>
          <w:b/>
        </w:rPr>
        <w:t>E. 3.2</w:t>
      </w:r>
    </w:p>
    <w:p>
      <w:r>
        <w:t>Vorliegend geht es um die Frage, ob der verbuchte Mietzinsertrag der im Eigentum der Beschwerdeführerin stehenden Ferienwohnung marktkonform ist, oder ob sich eine Aufrechnung der nahestehenden Personen gewährten Nutzung aufdrängte. Als Mietwert bezeichnet man den geschätzten, nachhaltig erzielbaren Mietertrag der Liegenschaft. Im Mietwert enthalten ist die Gesamtheit der Bruttoerträge aus Fremd- und Eigennutzung einer Liegenschaft. Der Mietwert für Eigennutzung entspricht dem Betrag, welchen der Eigentümer für selbst genutzte Grundstücke, Liegenschaften und Liegenschaftsteile auf dem Markt Jährlich als Miete für Gleichwertiges aufwenden müsste oder bei Vermietung an unabhängige Dritte erzielen könnte (vgl. Das Schweizerische Schätzerhandbuch, 4. Aufl. 2012, S. 82 f.). Zur Festlegung des nachhaltig erzielbaren Mietwertes orientiert man sich an der Vermietbarkeit, den bestehenden Mietverträgen und der Nutzungsart. Liegen aktuelle Mietverträge vor, kommt dem Wortlaut des Vertrags entscheidende Bedeutung zu (vgl. Das Schweizerische Schätzerhandbuch, S. 83). Vorliegend ergibt sich aus den Unterlagen, dass die betroffene Ferienwohnung im Jahr 2015 bei Vermietung an unabhängige Dritte einen Bruttoertrag von CHF 175.- pro Tag, bzw. CHF 1'225.- pro Woche abwarf (vgl. Mietverträge C.________ und D.________). Bei einer Ferienwohnung auf der Bettmeralp ist mit einer möglichen Vermietung hauptsächlich in den Schulferien zu rechnen, was gesamthaft ca. 13 Wochen pro Jahr entspricht (1 Woche Sportferien, 2 Wochen Oster- bzw. Frühlingsferien, 6 Wochen Sommerferien, 2 Wochen Herbstferien und 2 Wochen Weihnachts- ferien). Bei einer solchen Vermietung könnte daher ein Ertrag von ca. CHF 15'925.- pro Jahr erwirtschaftet werden. Dieser Ertrag würde den verbuchten Aufwand der Ferienwohnung von CHF 15'561.- (Hypothekarzinsen CHF 5'606.30, Unterhalt und Reparaturen CHF 3'055.35, Abschreibungen auf dem Gebäude CHF 6'900.-) knapp decken. Obwohl auf diese Weise kein Gewinn erwirtschaftet würde, wäre die Situation unter dem Gesichtspunkt der Wirtschaftlichkeit zu akzeptieren. Bei einem Bruttoertrag von CHF 5'701.25 ist jedoch von einer Verlustsituation auszugehen, die auf die Dauer keinen Sinn macht, es sei denn, bei den fehlenden Mietzinsein- nahmen handelt es sich um Eigengebrauch durch den Aktionär oder nahestehende Personen. Unter diesen Vorgaben war ein Einschreiten der Steuerbehörde durchaus gerechtfertigt. Der Betrag der Aufrechnung von CHF 3'419.- ist zudem aufgrund des Gesagten nicht zu beanstanden, was zur Abweisung der Beschwerde führt. 4. Dem Ausgang des Verfahrens entsprechend sind die Kosten den Beschwerdeführern aufzu- erlegen (Art. 144 Abs. 1 DBG; Art. 131 Abs. 1 und 132 Abs. 2 VRG). Die Höhe der Verfahrens- kosten wird durch das kantonale Recht bestimmt (vgl. Art. 144 Abs. 5 DBG).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250.- festzusetzen. II. Kantonssteuer (607 2017 34)</w:t>
      </w:r>
    </w:p>
    <w:p>
      <w:r>
        <w:rPr>
          <w:b/>
        </w:rPr>
        <w:t>E. 5</w:t>
      </w:r>
    </w:p>
    <w:p>
      <w:r>
        <w:t>Art. 58 Abs. 1 Bst. a und b DBG entsprechen Art. 100 Abs. 1 Bst. a und b DStG. Das für die direkte Bundessteuer gesagte kann somit ohne weiteres auf die Kantonssteuer übertragen werden, was somit auch hier zur Abweisung der Beschwerde führt.</w:t>
      </w:r>
    </w:p>
    <w:p>
      <w:r>
        <w:rPr>
          <w:b/>
        </w:rPr>
        <w:t>E. 6</w:t>
      </w:r>
    </w:p>
    <w:p>
      <w:r>
        <w:t>Dem Ausgang des Verfahrens entsprechend sind die Kosten dem Beschwerdeführer aufzuerlegen. Die Gerichtsgebühr wird auf CHF 250.- festgesetzt.</w:t>
      </w:r>
    </w:p>
    <w:p>
      <w:r>
        <w:t>Kantonsgericht KG Seite 5 von 5 Die stellvertretende Präsidentin entscheidet: in Anwendung von Art. 100 Abs. 1 lit. c VRG I. Direkte Bundessteuer (607 2017 33) 1. Die Beschwerde der A.________ AG wird abgewiesen. Der Einspracheentscheid vom 6. Juni 2017 wird bestätigt. 2. Die Kosten von CHF 250.- werden der Beschwerdeführerin auferlegt und mit dem geleisteten Kostenvorschuss verrechnet. II. Kantonssteuer (607 2017 34) 3. Die Beschwerde der A.________ AG wird abgewiesen. Der Einspracheentscheid vom 6. Juni 2017 wird bestätigt. 4. Die Kosten von CHF 250.- werden der Beschwerdeführerin auferlegt und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 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27. Oktober 2017/dbe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