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2016 33 vom 10. März 2017</w:t>
      </w:r>
    </w:p>
    <w:p>
      <w:r>
        <w:t>FR Kantonsgericht, 2017-03-10, DE</w:t>
      </w:r>
    </w:p>
    <w:p>
      <w:r>
        <w:rPr>
          <w:b/>
        </w:rPr>
        <w:t xml:space="preserve">Quelle: </w:t>
      </w:r>
      <w:r>
        <w:t>https://mcp.opencaselaw.ch/entscheid/fr_gerichte_607_2016_33</w:t>
      </w:r>
    </w:p>
    <w:p>
      <w:r>
        <w:t>FR: FR_GERICHTE 607 2016 33 du 10 mars 2017</w:t>
      </w:r>
    </w:p>
    <w:p>
      <w:r>
        <w:t>IT: FR_GERICHTE 607 2016 33 del 10 marzo 2017</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a) 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Gesetzes vom 6. Juni 2000 über die direkten Kantonssteuern [DStG; SGF 631.1]). Die Beschwerdeschrift muss die Begehren der beschwerdeführenden Person und deren Begründung enthalten (vgl. Art. 140 Abs. 2 DBG; Art. 50 Abs. 2 StHG; Art. 180 Abs. 2 DStG). Mit der Beschwerde können alle Mängel des angefochtenen Entscheids und des vorangegangenen Verfahrens gerügt werden (Art. 140 Abs. 3 DBG; Art. 50 Abs. 2 StHG; Art. 180 Abs. 3 DStG). Das Beschwerdeverfahren richtet sich nach dem Gesetz vom 23. Mai 1991 über die Verwaltungsrechtspflege (VRG; SGF 150.1) (Art. 182 DStG). Die Beschwerde vom 19. Oktober 2016 gegen den Einspracheentscheid vom 22. September 2016 ist durch die Beschwerdeführerin frist- und formgerecht bei der sachlich und örtlich zuständigen Beschwerdeinstanz eingereicht worden. Die Beschwerdeführerin ist als Steuerschuldnerin durch den angefochtenen Einspracheentscheid berührt und hat ohne Weiteres ein schutzwürdiges Interesse an dessen Aufhebung oder Änderung (Art. 76 lit. a VRG). Damit ist auf die Beschwerde grundsätzlich einzutreten (zu den Einschränkungen siehe die nach- folgenden Erwägungen I/1b und I/1c). b) Die Beschwerdeführerin kritisiert, dass die Steuerverwaltung ihre Email vom 21. Juni 2016 nicht beantwortet habe und während der 30-tägigen Einsprachefrist telefonisch nicht erreichbar gewesen sei. Sie verlangt, dass die Steuerverwaltung eine schriftliche Stellungnahme dazu einreiche. Der in Art. 29 Abs. 2 der Bundesverfassung der Schweizerischen Eidgenossenschaft vom 18. April 1999 (BV; SR 101) verankerte Grundsatz des rechtlichen Gehörs verleiht der steuerpflichtigen Person im Sinn einer verfassungsrechtlichen Minimalgarantie eine Reihe von Verfahrensrechten. Dabei handelt es sich insbesondere um Rechte auf Orientierung (z.B. Akteneinsicht, Begründung von Verfügungen und Entscheiden), auf Mitwirkung an der Untersuchung (z.B. Beweisanträge, Teilnahme an Beweisverhandlungen) und auf Äusserung (z.B. Deklaration, Stellungnahme zum Beweisergebnis) sowie auf Beurteilung durch eine unparteiische und unvoreingenommene Behörde. Auch das StHG sowie das DBG enthalten zahlreiche Verfahrensrechte, so unter anderem den Anspruch auf Akteneinsicht, auf Beweisabnahme sowie auf eine mit einer Rechtsmittelbelehrung und Begründung versehene schriftliche Eröffnung von Verfügungen und Entscheiden. Diese Regelungen sind nicht abschliessend, die kantonalen Steuergesetze können daher weitere Verfahrensrechte vorsehen. Ergänzend sind die verfassungsrechtlich garantierten Gehörsrechte heranzuziehen, soweit diese nicht den Regelungen des StHG und DBG über die</w:t>
      </w:r>
    </w:p>
    <w:p>
      <w:r>
        <w:t>Kantonsgericht KG Seite 5 von 9 Verfahrensrechte widersprechen (vgl. ZWEIFEL/CASANOVA, Schweizerisches Steuerverfahrensrecht, Direkte Steuern, 2008, S. 138 f.). Werden Verfahrensrechte beeinträchtigt, liegt regelmässig eine Verletzung des von Art. 29 Abs. 2 BV garantierten Anspruchs auf rechtliches Gehör vor. Ein mit einem solchen Mangel behafteter Entscheid ist in der Regel nicht nichtig, sondern bloss anfechtbar (ZWEIFEL/CASANOVA, S. 141 f.) Die pauschalen Ausführungen der Beschwerdeführerin, womit sie ihrer Unzufriedenheit über das behördliche Handeln Ausdruck gibt, lassen nicht erkennen, welche Verfahrensrechte durch die Steuerverwaltung missachtet worden sein könnten und inwiefern die Beschwerdeführerin dadurch an der Wahrnehmung ihrer Rechte konkret verhindert worden ist. Vielmehr ist festzustellen, dass die Beschwerdeführerin – trotz der fehlgeschlagenen Kontaktversuche – frist- und formgerecht eine Einsprache an die Steuerverwaltung erhoben hat. Diese ist auf die Einsprache eingetreten und hat der Beschwerdeführerin mit Schreiben vom 22. Juli 2016 sowie 31. August 2016 die Möglichkeit gegeben, weitere (ergänzende) Unterlagen einzureichen. Von dieser Möglichkeit machte die Beschwerdeführerin denn auch Gebrauch. Die nachgereichten Beweise wurden von der Steuerverwaltung abgenommen und gewürdigt mit der Folge, dass die erhobene Einsprache teilweise gutgeheissen wurde. Es ist somit festzustellen, dass der Beschwerdeführerin durch das behördliche Handeln der Vorinstanz kein Rechtsnachteil entstanden ist und sie auch kein schutzwürdiges Interesse daran hat, dass die Steuerverwaltung bezüglich ihres behördlichen Handelns nachträglich noch eine schriftliche Stellungnahme einreicht. Im Lichte der dargelegten anwendbaren Verfahrensgrundsätze und weil kein Rechtsschutzinteresse besteht, kann auf die Beschwerde, soweit sie die geltend gemachte Verletzung von Verfahrensrechten betrifft, nicht eingetreten werden. c) Die Beschwerdeführerin verlangt weiter, es sei die Steuerverwaltung anzuweisen, die Bestätigung ihrer Arbeitgeberin vom 12. September 2016, wonach sie regelmässig Telefondienst mit fixen Präsenzzeiten und einer Mittagspause von einer Stunde zu leisten habe, zusammen mit den Stempelblättern auch für nachfolgende Steuerperioden als Beweismittel zuzulassen. Im Verfahren der nachträglichen Verwaltungsrechtspflege gilt als Streitgegenstand das Rechtsverhältnis, das Gegenstand der angefochtenen Verfügung bildet, und zwar in dem Umfang, in dem es im Streit liegt. Beschwerdebegehren, die neue, in der angefochtenen Verfügung nicht geregelte Fragen aufwerfen, überschreiten den Streitgegenstand und sind deshalb unzulässig. Denn in einem Rechtsmittelverfahren kann der Streitgegenstand grundsätzlich nur eingeschränkt, aber nicht ausgeweitet werden. Was Streitgegenstand ist, bestimmt sich nach dem angefochtenen Entscheid und den Parteibegehren (vgl. Urteile BGer 2C_386 und 387/2012 vom 16. November 2012 E. 3.3; 2C_446/2007 vom 22. Januar 2008 E. 2.2 und 3.1 mit Hinweisen). Im Übrigen sieht Art. 81 Abs. 3 VRG ausdrücklich vor, dass die beschwerdeführende Person in der Beschwerdeschrift keine Begehren stellen kann, die ausserhalb des Fragenkreises liegen, der Gegenstand des vorangegangenen Verfahrens war. Sie kann zwar gemäss dieser Bestimmung zur Begründung ihres Rechtsmittels Tatsachen und Beweismittel geltend machen, die in diesem Verfahren nicht angeführt wurden; diese vermögen jedoch keine Ausweitung des Streitgegenstandes zu bewirken. Abgesehen davon bleiben abweichende steuerrechtliche Verfahrensvorschriften, wie sie im Falle der Anfechtung einer Ermessensveranlagung gelten, vorbehalten.</w:t>
      </w:r>
    </w:p>
    <w:p>
      <w:r>
        <w:t>Kantonsgericht KG Seite 6 von 9 Die Veranlagungsanzeige vom 16. Juni 2016 betrifft die Steuerperiode 2015. Entsprechend ist auch nur die Steuerperiode 2015 Gegenstand des angefochtenen Einspracheentscheids, obschon die Steuerverwaltung in diesem auch einen Hinweis betreffend künftige Steuerperioden machte. Da einer Veranlagung bei periodischen Steuern nach ständiger Praxis des Bundesgerichts nur für die betreffende Periode Rechtskraft zukommt und die tatsächlichen und rechtlichen Verhältnisse daher in einem späteren Veranlagungszeitraum durchaus anders gewürdigt werden können (vgl. etwa Urteil BGer 2C_112/2014 und 113/2014 vom 15. September 2014 E. 6.2.3 mit Verweis auf Urteil BGer 2C_196/2007 vom 16. Mai 2007 E. 3.2), entfaltet der Hinweis keinerlei Rechtswirkungen für die über das Steuerjahr 2015 hinausgehenden Steuerperioden, weshalb der Beschwerdeführerin auch diesbezüglich das Rechtsschutzinteresse abzusprechen ist. Folglich kann auf die Beschwerde, soweit sie über das Steuerjahr 2015 hinausgehende Steuerperioden betrifft, mangels Vorliegens eines anfechtbaren Einspracheentscheides und weil kein Rechtsschutzinteresse besteht, nicht eingetreten werden. II. Direkte Bundessteuer (607 2016 33)</w:t>
      </w:r>
    </w:p>
    <w:p>
      <w:r>
        <w:rPr>
          <w:b/>
        </w:rPr>
        <w:t>E. 2</w:t>
      </w:r>
    </w:p>
    <w:p>
      <w:r>
        <w:t>a) Unselbstständigerwerbende können nach Art. 26 Abs. 1 lit. a und b DBG insbesondere die notwendigen Kosten für Fahrten zwischen Wohn- und Arbeitsstätte (ab 1. Januar 2016 bis zu einem Maximalbetrag von CHF 3‘000.-) sowie die notwendigen Mehrkosten für Verpflegung ausserhalb der Wohnstätte und bei Schichtarbeit als Berufskosten in Abzug bringen. Für die Mehrkosten der auswärtigen Verpflegung (und bis zum 31. Dezember 2015 auch für die Fahrkosten) werden Pauschalansätze festgelegt (Art. 26 Abs. 2 DBG). Die Pauschalansätze werden in der Verordnung des Eidgenössischen Finanzdepartements vom 10. Februar 1993 über den Abzug der Berufskosten unselbstständig Erwerbstätiger bei der direkten Bundessteuer (Berufskostenverordnung; BKV; SR 642.118.1) festgelegt und im Anhang der Verordnung bekannt gegeben. Im Steuerjahr 2015 betrug der volle Abzug der Mehrkosten für die auswärtige Verpflegung CHF 15.- pro Hauptmahlzeit bzw. CHF 3‘200.- pro Jahr. Wenn die Verpflegung vom Arbeitgeber anders als in bar verbilligt wird (Abgabe von Gutscheinen) oder wenn sie in einer Kantine, einem Personalrestaurant oder einer Gaststätte des Arbeitgebers eingenommen werden kann, ist nur der halbe Abzug (CHF 7.50 pro Hauptmahlzeit bzw. CHF 1‘600.- pro Jahr) zulässig (Art. 6 Abs. 2 BKV sowie Anhang). b) Gemäss einschlägiger Rechtsprechung des Kantonsgerichts Freiburg fällt ein Abzug für Mehrkosten auswärtiger Verpflegung nur in Betracht, wenn die Einnahme der ordentlichen Mahlzeiten zu Hause nicht möglich oder nicht zumutbar ist. Dies könne z.B. der Fall sein, weil die Mittagspause zu knapp sei, wobei jedoch eine Stunde für die Zubereitung und Einnahme einer Mittagsmahlzeit als genügend erachtet werde (Urteile KG FR 607 2013 53/54 vom 7. Mai 2014 E. 1b; 607 2012 14/15 vom 19. April 2013 E. 2b; 607 2011 13/14 vom 25. Januar 2013 E. 2b; je mit weiteren Hinweisen). Diese Grundsätze gelten heute im Zeitalter von Mikrowelle, Dampfgarer und (Teil-) Fertigmahlzeiten mehr denn je. Das Bundesgericht wiederum gelangte in seinem Urteil 2P.254/2002 vom 12. Mai 2003 zum Schluss, es sei nicht zu beanstanden, wenn die Vorinstanzen bei einem Steuerpflichtigen, der für das Mittagessen zu Hause inkl. Hin- und Rückreise 85 Minuten benötige, wobei der Zeitaufwand für den Weg kürzer sei als die Aufenthaltsdauer zu Hause, wo ihm für die Zubereitung und die Einnahme der Mahlzeit 50 Minuten zur Verfügung stehen würden, eine Rückkehr nach Hause als zumutbar ansehen. Die flexible Arbeitszeit ermögliche dem Steuerpflichtigen, seien Tagesablauf</w:t>
      </w:r>
    </w:p>
    <w:p>
      <w:r>
        <w:t>Kantonsgericht KG Seite 7 von 9 nach den eigenen Wünschen einzuteilen. Soweit er durch auswärtige Verpflegung und eine kürzere Mittagspause Flexibilität im Hinblick auf seine Freizeitgestaltung gewinnen wolle, könne er daraus nichts für die Erforderlichkeit der Berufskosten ableiten, denn es fehle für die damit verbundenen Mehrkosten der notwendige Bezug zur Erwerbstätigkeit (E. 4.3). c) Die Beweislast dafür, dass geltend gemachte Auslagen Gewinnungskosten darstellen, trägt die steuerpflichtige Person, da es sich dabei um die Steuerlast mindernde Tatsachen handelt (Urteil BGer 2C_214/2014 vom 7. August 2014 E. 3.6.2 mit Verweis u.a. auf BGE 140 II 248 E. 3.5)</w:t>
      </w:r>
    </w:p>
    <w:p>
      <w:r>
        <w:rPr>
          <w:b/>
        </w:rPr>
        <w:t>E. 3</w:t>
      </w:r>
    </w:p>
    <w:p>
      <w:r>
        <w:t>a) Vorliegend ist unbestritten, dass die Beschwerdeführerin grundsätzlich über gleitende Arbeitszeiten mit Blockzeiten von 8.30-11.00 Uhr und 14.00-16.00 Uhr verfügt (Ziff. 3 des Zeiterfassungsreglements; Gegenbemerkungen S. 2). Bei einem einfachen Arbeitsweg von 25 Minuten (50 Minuten für die Hin- und Rückfahrt) lässt sich somit nicht behaupten, das Mittagessen müsse aus beruflicher Notwendigkeit auswärts eingenommen werden, verbleiben doch der Beschwerdeführerin für die Zubereitung und Einnahme der Mahlzeiten über zwei Stunden. Es ist somit nicht zu beanstanden, wenn die Vorinstanz aufgrund der gegebenen Umstände darauf schliesst, dass der Beschwerdeführerin zugemutet werden kann, die Mittagsmahlzeiten zu Hause einzunehmen. Soweit die Beschwerdeführerin geltend macht, dass ihr der Arbeitsweg von 50 Minuten für die Hin- und Rückfahrt nicht zugemutet werden könne, kann sie daraus auf jeden Fall nichts für die Erforderlichkeit der Berufskosten ableiten, denn es fehlt für die damit verbundenen Mehrkosten der notwendige Bezug zur Erwerbstätigkeit. b) Weiter ist nicht bestritten, dass die Beschwerdeführerin, wenn sie im Telefondienst eingeteilt ist, fixe Präsenzzeiten von 8.00-12.00 Uhr und 13.00-17.00 Uhr einhalten muss. Bei einem einfachen Arbeitsweg von 25 Minuten (50 Minuten für die Hin- und Rückfahrt) kann ihr an diesen Arbeitstagen nicht zugemutet werden, das Mittagessen zu Hause einzunehmen. Die Beschwerdeführerin reichte eine Bestätigung ihrer Arbeitgeberin vom 12. September 2016 zu den Akten, wonach sie regelmässig Telefondienst zu leisten habe (Beschwerdebeilage 8). Wie häufig sie im Telefondienst eingeteilt ist, lässt sich der Bestätigung aber nicht entnehmen. Diesbezüglich beruft sich die Beschwerdeführerin auf diverse Stempelblätter (Beschwerdebeilage 6). Eine Durchsicht dieser Stempelblätter ergibt, dass die Beschwerdeführerin die Präsenzzeiten von 8.00-12.00 Uhr und 13.00-17.00 Uhr im Zeitraum von Juni 2015 bis Dezember 2015 (31 Wochen) nur an insgesamt 27 Arbeitstagen eingehalten hat. Zwar ist mit den Stempelblättern der rechtsgenügliche Beweis, dass die Beschwerdeführerin an diesen Tagen tatsächlich im Telefondienst eingeteilt war, noch nicht erbracht, hätte sie doch auch aus anderen Gründen eine kurze Mittagspause machen können. Da die Steuerverwaltung im Einspracheentscheid aber anerkannt hat, dass die Beschwerdeführerin durchschnittlich einmal pro Woche fixe Präsenzzeiten mit einer Mittagspause von einer Stunde oder weniger einzuhalten habe, was ihr nicht erlaube, das Mittagessen zu Hause einzunehmen, und ihr im genannten Zeitraum an insgesamt 31 Arbeitstagen den vollen Abzug für die auswärtige Verpflegung gewährte, was nicht zu beanstanden ist, ist nicht weiter darauf einzugehen. c) Insgesamt ist nicht zu beanstanden, dass die Steuerverwaltung der Beschwerdeführerin einen Abzug für die auswärtige Verpflegung im Betrag von insgesamt CHF 1‘799.- gewährt hat. Dieser Betrag setzt sich wie folgt zusammen: CHF 1‘334.- (Arbeitsort D.________: Januar – Mai</w:t>
      </w:r>
    </w:p>
    <w:p>
      <w:r>
        <w:t>Kantonsgericht KG Seite 8 von 9 2015; 5/12 des Maximalabzuges von CHF 3‘200.-/Jahr) zuzüglich CHF 465.- (Arbeitsort F.________: Juni – Dezember 2015; 31 Mahlzeiten à CHF 15.-). Die Beschwerde ist somit vollumfänglich abzuweisen, soweit darauf einzutreten ist, und der an- gefochtene Einspracheentscheid der Steuerverwaltung vom 22. September 2016 zu bestätigen.</w:t>
      </w:r>
    </w:p>
    <w:p>
      <w:r>
        <w:rPr>
          <w:b/>
        </w:rPr>
        <w:t>E. 4</w:t>
      </w:r>
    </w:p>
    <w:p>
      <w:r>
        <w:t>Dem Ausgang des Verfahrens entsprechend sind die Kosten in Anwendung von Art. 144 Abs. 1 DBG der Beschwerdeführerin aufzuerlegen. Die Höhe der Verfahrenskosten wird durch das kantonale Recht bestimmt (Art. 144 Abs. 5 DBG). Das heisst, dass insbesondere der Tarif vom 17. Dezember 1991 der Verfahrenskosten und Entschädigungen in der Verwaltungsjustiz (Tarif VJ; SGF 150.12) zur Anwendung gelangt (vgl. Art. 146 und Art. 147 VRG sowie Art. 4 Abs. 3 des kantonalen Ausführungsbeschlusses zum Bundesgesetz über die direkte Bundessteuer vom 5. Januar 1995; SGF 634.1.11). Im vorliegenden Fall erscheint es angemessen, die Gerichtsgebühr auf CHF 200.- festzusetzen. Diese Gerichtsgebühr wird mit dem geleisteten Kostenvorschuss verrechnet. III. Kantonssteuer (607 2016 34)</w:t>
      </w:r>
    </w:p>
    <w:p>
      <w:r>
        <w:rPr>
          <w:b/>
        </w:rPr>
        <w:t>E. 5</w:t>
      </w:r>
    </w:p>
    <w:p>
      <w:r>
        <w:t>a) Die vorne dargelegten Grundsätze gelten auch im Bereich der Kantonssteuern. Die entsprechenden, praktisch gleich lautenden Gesetzesbestimmungen sind in Art. 27 DStG enthalten (vgl. auch Art. 9 Abs. 1 StHG). Die Ausführungsvorschriften wurden in Art. 4 der Verordnung der Finanzdirektion vom 14. Dezember 2006 über den Abzug von Berufskosten bei unselbstständiger Erwerbstätigkeit (SGF 631.411) erlassen. b) Angesichts der mit dem Recht der direkten Bundessteuer übereinstimmenden gesetzlichen Regelung kann für die Rechtsanwendung auf die Ausführungen in den Erwägungen II/2 und II/3 verwiesen werden. Demzufolge ist auch der Rekurs betreffend die Kantonssteuer abzuweisen, soweit darauf einzutreten ist.</w:t>
      </w:r>
    </w:p>
    <w:p>
      <w:r>
        <w:rPr>
          <w:b/>
        </w:rPr>
        <w:t>E. 6</w:t>
      </w:r>
    </w:p>
    <w:p>
      <w:r>
        <w:t>Dem Ausgang des Verfahrens entsprechend sind die Verfahrenskosten der Beschwerdeführerin aufzuerlegen (Art. 131 Abs. 1 VRG). Dabei gelangt der Tarif VJ zur Anwendung (vgl. Art. 146 und Art. 147 VRG). Im vorliegenden Fall erscheint es angemessen, die Gerichtsgebühr auf CHF 200.- festzusetzen. Diese Gerichtsgebühr wird mit dem geleisteten Kostenvorschuss verrechnet.</w:t>
      </w:r>
    </w:p>
    <w:p>
      <w:r>
        <w:t>Kantonsgericht KG Seite 9 von 9 Die stellvertretende Präsidentin erkennt: I. Direkte Bundessteuer (607 2016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