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2016 26 vom 20. Dezember 2016</w:t>
      </w:r>
    </w:p>
    <w:p>
      <w:r>
        <w:t>FR Kantonsgericht, 2016-12-20, DE</w:t>
      </w:r>
    </w:p>
    <w:p>
      <w:r>
        <w:rPr>
          <w:b/>
        </w:rPr>
        <w:t xml:space="preserve">Quelle: </w:t>
      </w:r>
      <w:r>
        <w:t>https://mcp.opencaselaw.ch/entscheid/fr_gerichte_607_2016_26</w:t>
      </w:r>
    </w:p>
    <w:p>
      <w:r>
        <w:t>FR: FR_GERICHTE 607 2016 26 du 20 décembre 2016</w:t>
      </w:r>
    </w:p>
    <w:p>
      <w:r>
        <w:t>IT: FR_GERICHTE 607 2016 26 del 20 dicembre 2016</w:t>
      </w:r>
    </w:p>
    <w:p>
      <w:pPr>
        <w:pStyle w:val="Heading2"/>
      </w:pPr>
      <w:r>
        <w:t>Regeste</w:t>
      </w:r>
    </w:p>
    <w:p>
      <w:r>
        <w:t>Entscheid des Steuergerichtshofes des Kantonsgerichts | Ordnungsbussen</w:t>
      </w:r>
    </w:p>
    <w:p>
      <w:pPr>
        <w:pStyle w:val="Heading2"/>
      </w:pPr>
      <w:r>
        <w:t>Erwägungen</w:t>
      </w:r>
    </w:p>
    <w:p>
      <w:r>
        <w:rPr>
          <w:b/>
        </w:rPr>
        <w:t>E. 1</w:t>
      </w:r>
    </w:p>
    <w:p>
      <w:r>
        <w:t>Gestützt auf Art. 186 des Gesetzes vom 6. Juni 2000 über die direkten Kantonssteuern (DStG; SGF 631.1) in Verbindung mit Art. 100 Abs. 1 lit. c des Gesetzes vom 23. Mai 1991 über die Verwaltungsrechtspflege (VRG; SGF 150.1) ist die Beschwerde angesichts der Höhe der angefochtenen Busse vom Präsidenten des Steuergerichtshofes als Einzelrichter zu beurteilen.</w:t>
      </w:r>
    </w:p>
    <w:p>
      <w:r>
        <w:rPr>
          <w:b/>
        </w:rPr>
        <w:t>E. 2</w:t>
      </w:r>
    </w:p>
    <w:p>
      <w:r>
        <w:t>a) Gemäss Art. 157 DStG werden die Steuerpflichtigen durch Zustellung des Formulars oder durch öffentliche Bekanntgabe aufgefordert, die Steuererklärung einzureichen (Abs. 1). Die steuerpflichtige Person muss das Formular für die Steuererklärung wahrheitsgemäss und vollständig ausfüllen, persönlich unterzeichnen und samt vorgeschriebenen Beilagen fristgemäss bei der Kantonalen Steuerverwaltung einreichen (Abs. 2). Die steuerpflichtige Person, die die Steuererklärung nicht oder mangelhaft ausgefüllt einreicht, wird aufgefordert, das Versäumte innert angemessener Frist nachzuholen (Abs. 3). b) Art. 219 DStG (vgl. auch Art. 55 des Bundesgesetzes vom 14. Dezember 1990 über die Harmonisierung der direkten Steuern der Kantone und Gemeinden; StHG, SR 642.14) sieht insbesondere vor, dass mit einer Busse bestraft wird, wer einer Pflicht, die ihm nach den Vorschriften dieses Gesetzes oder nach einer aufgrund dieses Gesetzes getroffenen Anordnung obliegt, trotz Mahnung vorsätzlich oder fahrlässig nicht nachkommt, insbesondere die Steuererklärung oder die dazu verlangten Beilagen nicht einreicht (Abs. 1 lit. a). Die Kantonale Steuerverwaltung ist für die Verfügung einer Busse bei Verletzung von Ordnungsvorschriften zuständig (Abs. 2). Die Busse beträgt bis zu CHF 1'000.-, in schweren Fällen oder bei Rückfall bis zu CHF 10'000.- (Abs. 3).</w:t>
      </w:r>
    </w:p>
    <w:p>
      <w:r>
        <w:rPr>
          <w:b/>
        </w:rPr>
        <w:t>E. 3</w:t>
      </w:r>
    </w:p>
    <w:p>
      <w:r>
        <w:t>a) Aufgrund des klaren gesetzlichen Wortlautes von Art. 219 Abs. 1 DStG, welcher auch sachlich durchaus einleuchtet, ist davon auszugehen, dass die Ausfällung einer Busse wegen Verletzung von Verfahrenspflichten eine formelle Mahnung voraussetzt (vgl. in diesem Sinne bereits das Urteil des Präsidenten des Steuergerichthofs 4F 04 156 vom 25. Juli 2005). b) Die Eröffnung einer Verfügung ist eine empfangsbedürftige einseitige Rechtshandlung. Der Beweis für den Empfang der Verfügung obliegt der Amtsstelle, welche diese erlassen hat. Diese Beweislastverteilung folgt aus der allgemeinen Regel, wonach grundsätzlich derjenige das Vorhandensein einer behaupteten Tatsache zu beweisen hat, der aus ihr Rechte ableitet (Art. 8 ZGB). Es besteht hingegen keine Vorschrift, Verfügungen wie die vorliegend zur Diskussion ste- hende Mahnung dem Adressaten als eingeschriebene Sendung zuzustellen. Eine solche Regelung wäre bei Massenverfügungen und -entscheiden unpraktikabel und mit zu grossem Aufwand verbunden. Die Beweislastregelung hat jedoch zur Folge, dass die Behörde das Risiko des fehlenden Beweises trägt. Im Zweifel ist auf die Darstellung des Adressaten abzustellen, wenn die Zustellung nicht eingeschriebener Sendungen bestritten wird oder eine verspätete Eröffnung geltend gemacht wird. Denn die blosse Postaufgabe beweist nicht zwingend, dass (und wann) der Adressat die Sendung auch empfangen hat. Ein Fehler bei der Postzustellung liegt nicht derart ausserhalb jeder Wahrscheinlichkeit, dass mit dieser Möglichkeit nicht gerechnet werden müsste (vgl. BGE 105 III 43 sowie Urteil BGer vom 5. Juli 2000, StE 2001 B 93.6 Nr. 22; ZWEIFEL / CASANOVA, Schweizerisches Steuerverfahrensrecht, 2008, § 15 Rz. 48 mit weiteren Hinweisen). Es ist nicht zu verkennen, dass die dargelegte Regelung der Beweislast in Einzelfällen zu Missbräuchen führen könnte. Es empfiehlt sich daher in besonderen Fällen, die Verfügung ausnahmsweise eingeschrieben oder gegen Empfangsbestätigung zu versenden. Im Übrigen kann</w:t>
      </w:r>
    </w:p>
    <w:p>
      <w:r>
        <w:t>Kantonsgericht KG Seite 4 von 4 der Nachweis der Zustellung (bzw. ihr Zeitpunkt) freilich auch aufgrund von weiteren Indizien oder gestützt auf die gesamten Umstände erbracht werden. So kann sich etwa aus den eigenen Erklärungen oder dem Verhalten des Steuerpflichtigen ableiten lassen, dass und wann die Verfügung eröffnet worden ist (vgl. BGE 105 III 43 sowie Urteil BGer 2C_637/2007 vom 4. April 2008 in RDAF 2008 II 197 E. 2.4.1 [in BGE 134 II 186 nicht veröffentlichte Erwägung]). c) Im vorliegenden Fall erfolgte der Versand des bei den Akten liegenden Mahnungsschreibens vom 6. Juli 2016 anscheinend mit B-Post. Gemäss Darstellung des Beschwerdeführers ist diese Sendung jedoch nie bei ihm eingetroffen. Die Vorinstanz ist nicht in der Lage, die tatsächliche Zustellung zu beweisen, und sie hat die diesbezügliche Behauptung des Beschwerdeführers nicht eigentlich in Frage gestellt, weder im Einsprache- noch im vorliegenden Beschwerdeverfahren. Ebenso wenig hat sie irgendwelche Indizien vorgebracht, welche die Sachverhaltsdarstellung des Beschwerdeführers in Zweifel zu ziehen vermöchten. Geht man aufgrund der geltenden Beweislastverteilung von der Sachverhaltsdarstellung des Be- schwerdeführers aus, so ergibt sich, dass die gesetzlich erforderliche Mahnung nicht erfolgt ist. An der zwingenden Tragweite dieser Feststellung ändern auch die vorne wiedergegebenen Argumente der Vorinstanz nichts. Demzufolge ist die Beschwerde gutzuheissen und der angefochtene Entscheid aufzuheben.</w:t>
      </w:r>
    </w:p>
    <w:p>
      <w:r>
        <w:rPr>
          <w:b/>
        </w:rPr>
        <w:t>E. 4</w:t>
      </w:r>
    </w:p>
    <w:p>
      <w:r>
        <w:t>Dem Ausgang des Verfahrens entsprechend (Art. 131 VRG) sowie in Anwendung von Art. 133 VRG sind keine Kosten zu erheben. Der stellvertretende Präsident entscheidet: in Anwendung von Art. 100 Abs. 1 lit. c VRG I. Die Beschwerde wird gutgeheissen. Der angefochtene Einspracheentscheid bzw. die Bussenverfügung wird aufgehoben. II. Es werden keine Kosten erhoben. Der geleistete Kostenvorschuss (CHF 300.-) wird dem Beschwerdeführer zurückerstattet. III. Zustellung. Der vorliegende Entscheid kann gemäss Art. 73 StHG und Art. 82 ff. des Bundesgesetzes vom 17. Juni 2005 über das Bundesgericht (BGG; SR 173.110) innert 30 Tagen seit Eröffnung mit einer Beschwerde in öffentlich-rechtlichen Angelegenheiten beim Bundesgericht, Lausanne, angefochten werden. Freiburg, 20. Dezember 2016/hca Stellvertretender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