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2016 11 vom 16. Dezember 2016</w:t>
      </w:r>
    </w:p>
    <w:p>
      <w:r>
        <w:t>FR Kantonsgericht, 2016-12-16, DE</w:t>
      </w:r>
    </w:p>
    <w:p>
      <w:r>
        <w:rPr>
          <w:b/>
        </w:rPr>
        <w:t xml:space="preserve">Quelle: </w:t>
      </w:r>
      <w:r>
        <w:t>https://mcp.opencaselaw.ch/entscheid/fr_gerichte_607_2016_11</w:t>
      </w:r>
    </w:p>
    <w:p>
      <w:r>
        <w:t>FR: FR_GERICHTE 607 2016 11 du 16 décembre 2016</w:t>
      </w:r>
    </w:p>
    <w:p>
      <w:r>
        <w:t>IT: FR_GERICHTE 607 2016 11 del 16 dicembre 2016</w:t>
      </w:r>
    </w:p>
    <w:p>
      <w:pPr>
        <w:pStyle w:val="Heading2"/>
      </w:pPr>
      <w:r>
        <w:t>Regeste</w:t>
      </w:r>
    </w:p>
    <w:p>
      <w:r>
        <w:t>Entscheid des Steuergerichtshofes des Kantonsgerichts | Ordnungsbussen</w:t>
      </w:r>
    </w:p>
    <w:p>
      <w:pPr>
        <w:pStyle w:val="Heading2"/>
      </w:pPr>
      <w:r>
        <w:t>Erwägungen</w:t>
      </w:r>
    </w:p>
    <w:p>
      <w:r>
        <w:rPr>
          <w:b/>
        </w:rPr>
        <w:t>E. 1</w:t>
      </w:r>
    </w:p>
    <w:p>
      <w:r>
        <w:t>Gestützt auf Art. 186 DStG in Verbindung mit Art. 100 Abs. 1 lit. c des Gesetzes vom 23. Mai 1991 über die Verwaltungsrechtspflege (VRG; SGF 150.1) ist die Beschwerde angesichts der Höhe der angefochtenen Bussen vom Präsidenten des Steuergerichtshofes als Einzelrichter zu beurteilen.</w:t>
      </w:r>
    </w:p>
    <w:p>
      <w:r>
        <w:rPr>
          <w:b/>
        </w:rPr>
        <w:t>E. 2</w:t>
      </w:r>
    </w:p>
    <w:p>
      <w:r>
        <w:t>a) Vorweg ist festzuhalten, dass die am 18. Mai 2015 ausgefällte Busse von CHF 70.- (indi- viduelles Steuerkapitel) mangels rechtzeitiger Anfechtung in Rechtskraft erwachsen ist und inso- fern nicht mehr Gegenstand des späteren Einspracheverfahrens bilden konnte. Vielmehr hätte sie allenfalls Gegenstand eines Revisionsverfahrens bilden müssen, wobei allerdings nicht einzuse- hen ist, welcher Revisionsgrund in Frage käme. Insofern ist auf die vorliegende Beschwerde nicht einzutreten, soweit damit die Rückerstattung dieses Betrages von CHF 70.- verlangt wird.</w:t>
      </w:r>
    </w:p>
    <w:p>
      <w:r>
        <w:t>Kantonsgericht KG Seite 4 von 5 b) Ebensowenig kann im Lichte von Art. 81 Abs. 3 VRG auf die Beschwerde eingetreten werden, soweit damit die Rückerstattung von Fristverlängerungsgebühren verlangt wird; diese bil- deten ja nicht Gegenstand des Einspracheverfahrens.</w:t>
      </w:r>
    </w:p>
    <w:p>
      <w:r>
        <w:rPr>
          <w:b/>
        </w:rPr>
        <w:t>E. 3</w:t>
      </w:r>
    </w:p>
    <w:p>
      <w:r>
        <w:t>a) Gemäss Art. 157 DStG werden die Steuerpflichtigen durch Zustellung des Formulars oder durch öffentliche Bekanntgabe aufgefordert, die Steuererklärung einzureichen (Abs. 1). Die steuerpflichtige Person muss das Formular für die Steuererklärung wahrheitsgemäss und vollstän- dig ausfüllen, persönlich unterzeichnen und samt vorgeschriebenen Beilagen fristgemäss der Kantonalen Steuerverwaltung einreichen (Abs. 2). Die steuerpflichtige Person, die die Steuererklä- rung nicht oder mangelhaft ausgefüllt einreicht, wird aufgefordert, das Versäumte innert angemes- sener Frist nachzuholen (Abs. 3). b) Art. 219 DStG (vgl. auch Art. 55 des Bundesgesetzes vom 14. Dezember 1990 über die Harmonisierung der direkten Steuern der Kantone und Gemeinden; StHG, SR 642.14) sieht insbe- sondere vor, dass mit einer Busse bestraft wird, wer einer Pflicht, die ihm nach den Vorschriften dieses Gesetzes oder nach einer aufgrund dieses Gesetzes getroffenen Anordnung obliegt, trotz Mahnung vorsätzlich oder fahrlässig nicht nachkommt, insbesondere die Steuererklärung oder die dazu verlangten Beilagen nicht einreicht (Abs. 1 lit. a). Die Kantonale Steuerverwaltung ist für die Verfügung einer Busse bei Verletzung von Ordnungsvorschriften zuständig (Abs. 2). Die Busse beträgt bis zu CHF 1'000.-, in schweren Fällen oder bei Rückfall bis zu CHF 10'000.- (Abs. 3).</w:t>
      </w:r>
    </w:p>
    <w:p>
      <w:r>
        <w:rPr>
          <w:b/>
        </w:rPr>
        <w:t>E. 4</w:t>
      </w:r>
    </w:p>
    <w:p>
      <w:r>
        <w:t>a) Im vorliegenden Fall ist aufgrund der Akten und der vorne im Sachverhalt dargelegten Tatsachen davon auszugehen, dass der behördlichen Mahnung vom 8. September 2015 nicht bzw. nicht fristgerecht Folge geleistet wurde. Der Beschwerdeführer hat denn schlussendlich auch selber eingeräumt, dass er das zunächst behauptete (dritte) Fristverlängerungsgesuch bis Oktober 2015 versäumt hat. Ebensowenig hat er den rechtsgnügenden Nachweis dafür erbracht, dass er aus den angerufenen gesundheitlichen Gründen nicht in der Lage gewesen wäre, rechtzeitig um die nötigen Fristverlängerungen nachzusuchen. Unter diesen Umständen wurde grundsätzlich zu Recht eine Ordnungsbusse ausgefällt. Das gesetzlich vorgesehene (und im Sinne einer Gleichbe- handlung aller Steuerpflichtigen konsequent anzuwendende) System der Ordnungsbussen soll dazu dienen, die Mitwirkungspflichten der Steuerpflichtigen durchzusetzen, einen ordentlichen Ablauf der Veranlagungsarbeiten zu ermöglichen und der ohnehin schon überlasteten Steuerver- waltung unnötigen Zusatzaufwand zu ersparen. An der Anwendbarkeit dieser gesetzlichen Vor- schriften kann insbesondere auch die Tatsache nichts ändern, dass der Beschwerdeführer im massgebenden Zeitpunkt noch nicht im Besitz aller nötigen Unterlagen war. Die Steuererklärung ist nämlich auch dann fristgemäss einzureichen, wenn einzelne Steuerfaktoren noch nicht ab- schliessend beziffert werden können (vgl. StPS 2005, S. 62). Nötigenfalls kann die Nachreichung weiterer Unterlagen vorbehalten werden. b) Zu prüfen bleibt, ob die Sanktion verhältnismässig ausgefallen ist. Bei der Bemessung des Bussenbetrages ist auf die Schwere des Verschuldens, die Umstände des Falles und die persönlichen Verhältnisse Rücksicht zu nehmen. Zu den persönlichen Verhältnissen gehört insbesondere auch die finanzielle Situation der Steuerpflichtigen. Im vorliegenden Fall ist zwar einerseits davon auszugehen, dass der Beschwerdeführer grund- sätzlich in der Lage gewesen wäre, rechtzeitig um die genügende Fristverlängerung nachzusu- chen. Zudem befindet er sich auch nicht in einer prekären finanziellen Situation. Andererseits sind jedoch die besonderen Umstände nicht zu übersehen: Bis anhin war der Beschwerdeführer seinen Verfahrenspflichten gegenüber den Steuerbehörden unbestrittenermassen stets vorschriftsgemäss und rechtzeitig nachgekommen. Die ihm erstmals vorgeworfene Ordnungswidrigkeit betrifft einzig</w:t>
      </w:r>
    </w:p>
    <w:p>
      <w:r>
        <w:t>Kantonsgericht KG Seite 5 von 5 die Steuerperiode 2014, für welche er infolge des Todes seiner Ehefrau zwei (teilweise zusam- menhängende) Steuererklärungen einreichen musste. Zu diesem Zweck waren zunächst die neuen Verhältnisse zu klären, was objektiv betrachtet eine gewisse Zeit in Anspruch nahm. Unter diesen bedrückenden Umständen, welche noch durch gesundheitliche Probleme erschwert wur- den, wird das Verschulden hinsichtlich der versäumten Fristverlängerung doch erheblich relativiert. Dazu kommt, dass das Versäumnis offensichtlich mehr mit einer gewissen administrativen Über- forderung des betagten Steuerpflichtigen als mit einer leichtsinnigen Nachlässigkeit zusammen- hängt. Zudem ist dem Beschwerdeführer zugutezuhalten, dass er die Steuererklärungen immerhin noch knapp zwei Monate nach der Mahnung bezüglich des gemeinsamen Steuerkapitels bzw. knapp einen Monat nach der diesbezüglichen Bussenverfügung eingereicht hat. Unter diesen Um- ständen erweist sich die Ordnungsbusse von CHF 380.- (nebst jener von CHF 70.- für das gleiche Steuerjahr) als überrissene Sanktion für die Verfahrenspflichtverletzung. Es erscheint angemes- sen, diese auf CHF 150.- herabzusetzen.</w:t>
      </w:r>
    </w:p>
    <w:p>
      <w:r>
        <w:rPr>
          <w:b/>
        </w:rPr>
        <w:t>E. 5</w:t>
      </w:r>
    </w:p>
    <w:p>
      <w:r>
        <w:t>Diesem Ausgang des Verfahrens sowie den Umständen entsprechend sind keine Kosten zu erheben (Art. 131 Abs. 1 und 133 VRG). Der stellvertretende Präsident entscheidet: in Anwendung von Art. 100 Abs. 1 lit. c VRG I. Die Beschwerde wird teilweise gutgeheissen, soweit darauf einzutreten ist. Der Einspracheentscheid wird in dem Sinne abgeändert, dass die (einzig noch zu beurteilende) Busse von CHF 380.- auf CHF 150.- herabgesetzt wird. Demzufolge ist dem Beschwerdeführer von dieser bereits bezahlten Busse ein Betrag von CHF 230.- zurückzuerstatten. II. Es werden keine Kosten erhoben. Der geleistete Kostenvorschuss (CHF 300.-) wird dem Beschwerdeführer zurückerstattet. III. Zustellung. Der vorliegende Entscheid kann gemäss Art. 73 StHG und Art. 82 ff. des Bundesgesetzes vom 17. Juni 2005 über das Bundesgericht (BGG; SR 173.110) innert 30 Tagen seit Eröffnung mit einer Beschwerde in öffentlich-rechtlichen Angelegenheiten beim Bundesgericht, Lausanne, angefoch- ten werden. Freiburg, 16. Dezember 2016/hca Stellvertretender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