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61 vom 16. November 2016</w:t>
      </w:r>
    </w:p>
    <w:p>
      <w:r>
        <w:t>FR Kantonsgericht, 2016-11-16, DE</w:t>
      </w:r>
    </w:p>
    <w:p>
      <w:r>
        <w:rPr>
          <w:b/>
        </w:rPr>
        <w:t xml:space="preserve">Quelle: </w:t>
      </w:r>
      <w:r>
        <w:t>https://mcp.opencaselaw.ch/entscheid/fr_gerichte_607_2015_61</w:t>
      </w:r>
    </w:p>
    <w:p>
      <w:r>
        <w:t>FR: FR_GERICHTE 607 2015 61 du 16 novembre 2016</w:t>
      </w:r>
    </w:p>
    <w:p>
      <w:r>
        <w:t>IT: FR_GERICHTE 607 2015 61 del 16 novembre 2016</w:t>
      </w:r>
    </w:p>
    <w:p>
      <w:pPr>
        <w:pStyle w:val="Heading2"/>
      </w:pPr>
      <w:r>
        <w:t>Regeste</w:t>
      </w:r>
    </w:p>
    <w:p>
      <w:r>
        <w:t>Entscheid des Präsident des Steuergerichtshofes des Kantonsgerichts | Einkommens- und Vermögenssteuer der natürlichen Personen</w:t>
      </w:r>
    </w:p>
    <w:p>
      <w:pPr>
        <w:pStyle w:val="Heading2"/>
      </w:pPr>
      <w:r>
        <w:t>Erwägungen</w:t>
      </w:r>
    </w:p>
    <w:p>
      <w:r>
        <w:rPr>
          <w:b/>
        </w:rPr>
        <w:t>E. 1</w:t>
      </w:r>
    </w:p>
    <w:p>
      <w:r>
        <w:t>a) Gemäss Art. 104 Abs. 4 des Bundesgesetzes vom 14. Dezember 1990 über die direkte Bundessteuer (DBG; SR 642.11) regelt das kantonale Recht Organisation und Amtsführung der kantonalen Vollzugsbehörde, soweit das Bundesrecht nichts anderes bestimmt. Dabei sind die Kantone weitgehend frei (vgl. ZIGERLIG / JUD in Zweifel / Athanas [Hrsg.], Kommentar zum schwei- zerischen Steuerrecht, I/2b, Bundesgesetz über die direkte Bundessteuer [DBG], 2. Aufl. 2008, Art. 104 N. 4 f.; PEDROLI in Commentaire romand, Impôt fédéral direct, 2008, Art. 104 N. 1 ff.). Dementsprechend bestimmen die Art. 3 und 4 Abs. 2 des kantonalen Ausführungsbeschlusses vom 5. Januar 1995 zum Bundesgesetz über die direkte Bundessteuer (SGF 634.1.11), dass für das Einsprache- bzw. Beschwerdeverfahren unter Vorbehalt anders lautender Bestimmungen des Bundesrechts sinngemäss die entsprechenden Bestimmungen des kantonalen Rechts gelten. Somit gelangen also allenfalls die Verfahrensvorschriften des Gesetzes vom 6. Juni 2000 über die direkten Kantonssteuern (DStG; SGF 631.1) sowie subsidiär des Gesetzes vom 23. Mai 1991 über die Verwaltungsrechtspflege (VRG; SGF 150.1) zur Anwendung. Im Verfahren der nachträglichen Verwaltungsrechtspflege gilt als Streitgegenstand das Rechtsver- hältnis, das Gegenstand der angefochtenen Verfügung bildet, und zwar in dem Umfang, in dem es im Streit liegt. Beschwerdebegehren, die neue, in der angefochtenen Verfügung nicht geregelte Fragen aufwerfen, überschreiten den Streitgegenstand und sind deshalb unzulässig. Denn in ei- nem Rechtsmittelverfahren kann der Streitgegenstand grundsätzlich nur eingeschränkt, aber nicht ausgeweitet werden. Was Streitgegenstand ist, bestimmt sich nach dem angefochtenen Entscheid und den Parteibegehren. Hat eine Partei bei Anfechtung einer Steuerveranlagung bestimmte Posi- tionen im Einspracheverfahren nicht beanstandet oder geltend gemacht, so kann sie grundsätzlich nicht verlangen, dass sich die obere Instanz nun damit auseinandersetzt. Die ständige Praxis lässt zudem nicht zu, dass eine Partei beispielsweise Verfahrensmängel erst nach dem Ergehen eines ungünstigen Entscheids vorbringt, wenn diese bei rechtzeitiger Geltendmachung noch im voran- gehenden Verfahren hätten behoben werden können (vgl. Urteile BGer 2C_386 und 387/2012 vom 16. November 2012 E. 3.3; 2C_446/2007 vom 22. Januar 2008 E. 2.2 und 3.1 sowie die dort er-</w:t>
      </w:r>
    </w:p>
    <w:p>
      <w:r>
        <w:t>Kantonsgericht KG Seite 4 von 7 wähnten Entscheide und Autoren; siehe auch die unveröffentlichten Urteile des Steuergerichts- hofes 604 2008-145/146 vom 7. Mai 2010 und 604 2009-29 vom 25. Juni 2010). Im Übrigen sieht Art. 81 Abs. 3 VRG ausdrücklich vor, dass der Beschwerdeführer in der Be- schwerdeschrift keine Begehren stellen kann, die ausserhalb des Fragenkreises liegen, der Ge- genstand des vorangegangenen Verfahrens war. Er kann zwar gemäss dieser Bestimmung zur Begründung seines Rechtsmittels Tatsachen und Beweismittel geltend machen, die in diesem Verfahren nicht angeführt wurden; diese vermögen jedoch keine Ausweitung des Streitgegenstan- des zu bewirken. Abgesehen davon bleiben abweichende steuerrechtliche Verfahrensvorschriften, wie sie im Falle der Anfechtung einer Ermessensveranlagung gelten, vorbehalten. b) Im vorliegenden Fall schliessen die Beschwerdeführer vor dem Kantonsgericht erstmals (und entgegen ihren bisherigen Steuererklärungen) auf die Festlegung eines Eigenmietwerts für die zur Diskussion stehende Liegenschaft. Diese Frage bildet jedoch nicht Gegenstand des angefochtenen Einspracheentscheides, da sie auch in der Einsprache vom 5. Juni 2015 keineswegs thematisiert worden ist. Erst recht unzulässig ist das Begehren im vorliegenden Verfahren, soweit es anscheinend die künftigen Steuerperioden betrifft, welche auch mangels Rechtsschutzinteresses nicht Gegenstand des vorliegenden Beschwerdeverfahrens sein können. Im Lichte der dargelegten anwendbaren Verfahrensgrundsätze kann somit auf die Beschwerde in diesem Punkt nicht eingetreten werden. II. Direkte Bundessteuer (607 2015 61)</w:t>
      </w:r>
    </w:p>
    <w:p>
      <w:r>
        <w:rPr>
          <w:b/>
        </w:rPr>
        <w:t>E. 2</w:t>
      </w:r>
    </w:p>
    <w:p>
      <w:r>
        <w:t>a) Gemäss Art. 32 Abs. 2 DBG können bei Liegenschaften im Privatvermögen insbesondere die Unterhaltskosten abgezogen werden. Die entsprechenden Ausführungsvorschriften sind in der Verordnung des Schweizerischen Bundesrats (vom 24. August 1992) über den Abzug der Kosten von Liegenschaften des Privatvermögens bei der direkten Bundessteuer (SR 642.116) enthalten. Die Kantonale Steuerverwaltung, welche auch als kantonale Verwaltung für die direkte Bundes- steuer bestimmt wurde (Art. 1 des Ausführungsbeschlusses vom 5. Januar 1995 zum Bundesge- setzes über die direkte Bundessteuer, SGF 634.1.11), verfügt zudem über ein "Besonderes Merk- blatt für den tatsächlichen Kostenabzug bei Privatliegenschaften sowie für Investitionen, die dem Energiesparen und dem Umweltschutz dienen" (vom Januar 2012; nachfolgend Merkblatt), wel- ches den Steuerpflichtigen abgegeben wird. Dieses soll der einheitlichen Rechtsanwendung (so- wohl im Bereich der direkten Bundesteuer als auch der Kantonssteuer) dienen. Es enthält nebst den allgemeinen Grundsätzen insbesondere einen ausführlichen Ausscheidungskatalog über die Abgrenzung der abziehbaren Unterhalts-, Energiespar- und Umweltschutzkosten von den (nicht abziehbaren) wertvermehrenden Aufwendungen und anderen Kosten. Die steuerlich zu berücksichtigenden Gewinnungskosten sind einerseits von den Lebenshaltungs- kosten und andererseits von den Anlagekosten (Aufwendungen für die Anschaffung, Herstellung oder Wertvermehrung von Vermögensgegenständen, Art. 34 lit. d DBG) abzugrenzen. Im Gegen- satz zu den wertvermehrenden Aufwendungen besteht der besondere Charakter der abzugsfä- higen Unterhaltskosten darin, dass sie der Erhaltung des nutzungsfähigen Zustandes der Liegen- schaft dienen. Unterhaltskosten umfassen also hauptsächlich diejenigen Ausgaben für die In- standstellung einer Liegenschaft, welche bezwecken, die normale Abnützung infolge des Ge- brauchs sowie des Zeitablaufs auszugleichen; sie sind dazu bestimmt, die Liegenschaft als Ein- kommensquelle zu erhalten. Nicht darunter fallen hingegen jene Auslagen, welche den Wert der Liegenschaft und das daraus fliessende Einkommen im Vergleich zum ursprünglichen Zustand</w:t>
      </w:r>
    </w:p>
    <w:p>
      <w:r>
        <w:t>Kantonsgericht KG Seite 5 von 7 erhöhen (zum Begriff der abzugsfähigen Unterhaltskosten vgl. auch BGE 133 II 287). Unter die nicht abzugsfähigen Lebenshaltungskosten werden zudem jene Aufwendungen subsumiert, welche primär der Befriedigung persönlicher Bedürfnisse und Liebhabereien dienen, sodass eine wirtschaftliche Konnexität zur blossen Erhaltung des steuerbaren Einkommens gar nicht erst besteht. Dabei handelt es sich insbesondere um Auslagen, die aus rein persönlicher Neigung heraus getätigt werden, ohne dass der Nutzungswert beeinflusst wird (vgl. ZWAHLEN, in Zweifel / Athanas, Kommentar zum Schweizerischen Steuerrecht I/2b, 2. Aufl., Basel 2008, Art. 32 N. 19 f.; MERLINO, in Commentaire romand LIFD, Basel 2008, Art. 32 N. 109). Wie die Vorinstanz (unter Berufung auf das Urteil des hiesigen Steuergerichtshofs 4F 03 124 vom 14. November 2003) zu Recht festgehalten hat, ergibt sich aus der Natur der Liegenschaftsunterhaltskosten als Gewinnungskosten beim Ertrag aus Privatvermögen, dass ein Abzug grundsätzlich nur dann gerechtfertigt ist, wenn der Aufwand tatsächlich mit steuerbaren Einkünften zusammenhängt. Sind weder Mieteinnahmen noch ein Eigenmietwert steuerbar, so können konsequenterweise auch keine Unterhaltskosten abgezogen werden. Von diesem Grundsatz kann nur ausnahmsweise abgewichen werden, so etwa dann, wenn keine Erträge eingehen, weil die Liegenschaft infolge Unterhaltsarbeiten vorübergehend nicht vermietet wird (vgl. LOCHER, Kommentar zum DBG, 2001, Art. 32 N. 1 f.; GURTNER / LOCHER, Theoretische Aspekte der Eigenmietwertbesteuerung in ASA 69, 597 ff., 609 f. sowie die dort erwähnten Entscheide; Urteil BGer 2C_878/2010 vom 19. April 2011 E. 5.1). Dieser Logik entspricht im Übrigen auch die Rechtsprechung, wonach im Zusammenhang mit Umgebungsarbeiten bei selbstbewohnten Liegenschaften insbesondere zu beachten ist, dass die Auslagen für den Unterhalt des Umschwungs (Garten, usw.) nur, aber immerhin insofern als Gewinnungskosten in Betracht fallen können, als die entsprechende Einrichtung überhaupt für die Festsetzung des Eigenmietwertes von (wesentlicher) Bedeutung ist (vgl. FZR 2000, 178 sowie die unveröffentlichten Urteile 4F 2005-22/23 vom 8. Juli 2005 E. 2c; 4F 2003-172 vom 17. Juni 2005 E. 3, 4F 2006-157/158 vom 5. Oktober 2007 E. 7 und 607 2008-19/20 vom 23. Juli 2009 E. 4b; Urteile BGer 2A.683/2004 vom 15. Juli 2005, 2C_878/2010 vom 19. April 2011 sowie 2C_279 und 280/2015 vom 30. Oktober 2015 E. 3.4.2). b) Im vorliegenden Fall kann als unbestritten gelten, dass das zur Diskussion stehende Grundstück bis anhin kein steuerbares Einkommen generierte. Soweit aus den Akten ersichtlich, wurde der Garten insbesondere auch nicht im Zusammenhang mit der selbstbewohnten Liegenschaft deklariert und einkommenswirksam berücksichtigt. Demzufolge können die umstrittenen Kosten nicht als Gewinnungskosten und mithin abzugsfähig betrachtet werden. Daran vermögen auch die Einwände der Beschwerdeführer nichts zu ändern. Einerseits darf sich die steuerpflichtige Person nicht darauf verlassen, dass die Steuerbehörde einen bestimmten Sachverhalt im Folgejahr gleich behandelt. Nach ständiger Praxis des Bundesgerichts kommt einer Veranlagung bei periodischen Steuern nur für die betreffende Periode Rechtskraft zu; die tatsächlichen und rechtlichen Verhältnisse können daher in einem späteren Veranlagungszeitraum anders gewürdigt werden (vgl. Urteil BGer 2C_279 und 280/2015 vom 30. Oktober 2015 E. 2.4). Insofern können die Beschwerdeführer aus der blossen Tatsache, dass ihnen in der Steuerveranlagung 2011 ein Abzug für die Instandstellung der Zugangstreppe zum Garten gewährt worden ist, nichts zu ihren Gunsten ableiten. Andererseits vermag die Tatsache, dass die Beschwerdeführer insgesamt sehr erhebliche Steuerbeträge entrichten, keinen Abzug zu rechtfertigen, für den es an einer gesetzlichen Grundlage mangelt.</w:t>
      </w:r>
    </w:p>
    <w:p>
      <w:r>
        <w:t>Kantonsgericht KG Seite 6 von 7 Schliesslich ist auch nicht einzusehen, inwiefern die streitigen Auslagen unter dem Titel "Spenden" abzugsfähig sein sollten. Das Gerüst für die Kletterpflanzen dient der selbstgewählten, eigenen Nutzung des Gartens, wobei steuerlich irrelevant ist, dass solche Verschönerungen selbstveständlich auch von der Allgemeinheit geschätzt werden, soweit sie über den privaten Bereich hinaus sichtbar sind. Demzufolge ist die Beschwerde abzuweisen.</w:t>
      </w:r>
    </w:p>
    <w:p>
      <w:r>
        <w:rPr>
          <w:b/>
        </w:rPr>
        <w:t>E. 3</w:t>
      </w:r>
    </w:p>
    <w:p>
      <w:r>
        <w:t>Dem Ausgang des Verfahrens entsprechend sind die Kosten in Anwendung von Art. 144 Abs. 1 DBG den Beschwerdeführern aufzuerlegen. Die Höhe der Verfahrenskosten wird durch das kantonale Recht bestimmt (Art. 144 Abs. 5 DBG). Das heisst, dass insbesondere der Tarif vom 17. Dezember 1991 der Verfahrenskosten und Ent- schädigungen in der Verwaltungsjustiz (Tarif VJ) zur Anwendung gelangt (vgl. Art 146 f. VRG so- wie Art. 4 Abs. 3 des Ausführungsbeschluss vom 5. Januar 1995 über die direkte Bundessteuer; SGF 634.1.11). Im vorliegenden Fall erscheint es angemessen, die Gerichtsgebühr auf CHF 200.- festzusetzen. III. Kantonssteuer (607 2015 62)</w:t>
      </w:r>
    </w:p>
    <w:p>
      <w:r>
        <w:rPr>
          <w:b/>
        </w:rPr>
        <w:t>E. 4</w:t>
      </w:r>
    </w:p>
    <w:p>
      <w:r>
        <w:t>Auch gemäss Art. 33 Abs. 2 DStG (vgl. zudem Art. 9 Abs. 3 des Bundesgesetzes vom 14. Dezember 1990 über die Harmonisierung der direkten Steuern der Kantone und Gemeinden [StHG; SR 642.14]) können bei Liegenschaften im Privatvermögen insbesondere die Unterhaltskosten sowie die Investitionen, die dem Energiesparen und dem Umweltschutz dienen, abgezogen werden, jedoch nicht die Aufwendungen für die Anschaffung, Herstellung oder Wertvermehrung von Vermögensgegenständen (Art. 35 lit. d). Die Einzelheiten sind in der Verordnung der Kantonalen Finanzdirektion (vom 21. März 2001) über den Abzug der Kosten bei Privatliegenschaften und der Investitionen, die dem Energiesparen und dem Umweltschutz dienen, sowie der Kosten für die Restaurationsarbeiten an unbeweglichen Kulturgütern (SGF 631.421) geregelt. Die Kantonale Steuerverwaltung verfügt zudem über das vorne in Erw. 2a bereits erwähnte Merkblatt. Angesichts der übereinstimmenden Regelungen ist somit im vorliegenden Fall der Rekurs betref- fend die Kantonssteuer gleich zu beurteilen wie die Beschwerde betreffend die direkte Bundessteuer.</w:t>
      </w:r>
    </w:p>
    <w:p>
      <w:r>
        <w:rPr>
          <w:b/>
        </w:rPr>
        <w:t>E. 5</w:t>
      </w:r>
    </w:p>
    <w:p>
      <w:r>
        <w:t>Dem Ausgang des Verfahrens entsprechend sind die Kosten den Beschwerdeführern aufzuerlegen (Art. 131 Abs. 1 VRG). Dabei gelangt der Tarif vom 17. Dezember 1991 der Verfah- renskosten und Entschädigungen in der Verwaltungsjustiz zur Anwendung (vgl. Art 146 f. VRG). Im vorliegenden Fall erscheint es angemessen, die Gerichtsgebühr auf CHF 200.- festzusetzen.</w:t>
      </w:r>
    </w:p>
    <w:p>
      <w:r>
        <w:t>Kantonsgericht KG Seite 7 von 7 Der stellvertretende Präsident entscheidet: in Anwendung von Art. 100 Abs. 1 lit. c VRG I. Direkte Bundessteuer (607 2015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