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41 vom 30. August 2016</w:t>
      </w:r>
    </w:p>
    <w:p>
      <w:r>
        <w:t>FR Kantonsgericht, 2016-08-30, DE</w:t>
      </w:r>
    </w:p>
    <w:p>
      <w:r>
        <w:rPr>
          <w:b/>
        </w:rPr>
        <w:t xml:space="preserve">Quelle: </w:t>
      </w:r>
      <w:r>
        <w:t>https://mcp.opencaselaw.ch/entscheid/fr_gerichte_607_2015_41</w:t>
      </w:r>
    </w:p>
    <w:p>
      <w:r>
        <w:t>FR: FR_GERICHTE 607 2015 41 du 30 août 2016</w:t>
      </w:r>
    </w:p>
    <w:p>
      <w:r>
        <w:t>IT: FR_GERICHTE 607 2015 41 del 30 agosto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Obwohl die Veranlagung des Steuerwertes und dementsprechend auch die diesbezügliche Einsprache der Beschwerdeführer nur die Kantonssteuern betreffen, umfasst der von der Vor- instanz erlassene Einspracheentscheid gemäss dem ausdrücklichen Wortlaut bzw. den zitierten Gesetzesbestimmungen auf der Vorderseite, im Urteilsdispositiv und der Rechtsmittelbelehrung auch die Veranlagung der direkten Bundessteuer. Aus der Begründung des Entscheides geht dann allerdings nicht hervor, inwiefern die direkte Bundessteuer, welche ja keine Vermögenssteuer vorsieht, betroffen sein soll. Unter diesen Umständen ist vorliegend schlicht festzustellen, dass der Einspracheentscheid, soweit er die direkte Bundessteuer erwähnt, irrtümlicherweise erfolgt ist und und die Veranlagung der direkten Bundessteuer nicht Gegenstand der Rechtsmittelverfahren bil- det.</w:t>
      </w:r>
    </w:p>
    <w:p>
      <w:r>
        <w:rPr>
          <w:b/>
        </w:rPr>
        <w:t>E. 2</w:t>
      </w:r>
    </w:p>
    <w:p>
      <w:r>
        <w:t>Für diesen Teil des Verfahrens sind keine Kosten zu erheben. II. Kantonssteuer (607 2015 42)</w:t>
      </w:r>
    </w:p>
    <w:p>
      <w:r>
        <w:rPr>
          <w:b/>
        </w:rPr>
        <w:t>E. 3</w:t>
      </w:r>
    </w:p>
    <w:p>
      <w:r>
        <w:t>a) Gemäss Art. 52 des Gesetzes vom 6. Juni 2000 über die direkten Kantonssteuern (DStG; SGF 631.1) sowie Art. 13 Abs. 1 des Bundesgesetzes vom 14. Dezember 1990 über die Harmonisierung der direkten Steuern der Kantone und Gemeinden (StHG; SR 642.14) unterliegt der Vermögenssteuer das gesamte Reinvermögen. Das steuerbare Vermögen bemisst sich nach dem Stand am Ende der Steuerperiode oder der Steuerpflicht (Art. 67 Abs. 1 DStG und aArt. 66 Abs. 1 bzw. heute Art. 17 Abs. 1 StHG). b) Die Aktiven werden grundsätzlich, d.h. unter Vorbehalt von Sondervorschriften, zum Verkehrswert bewertet (Art. 53 Abs. 2 DStG und Art. 14 Abs. 1 StHG).</w:t>
      </w:r>
    </w:p>
    <w:p>
      <w:r>
        <w:t>Kantonsgericht KG Seite 5 von 8 Art. 54 DStG bestimmt, dass die nichtlandwirtschaftlichen Grundstücke zum Steuerwert besteuert werden. Dieser entspricht dem Verkehrswert des Bodens und der Bauten unter entsprechender Berücksichtigung des Ertragswertes (Abs. 1). Der Verkehrswert entspricht dem unter normalen Verhältnissen erzielbaren Verkaufspreis ohne Rücksicht auf ungewöhnliche oder persönliche Ver- hältnisse (Abs. 2). Der Ertragswert entspricht dem kapitalisierten jährlichen Mietwert. Für vermie- tete Grundstücke entspricht der Ertragswert dem Mieterspiegel, d.h. dem Nettomietzins (Mietzins ohne Nebenkosten) der Wohnungen, Lokale und anderen Teile des Grundstückes (Abs. 3). Dem- gegenüber sieht Art. 55 DStG vor, dass die land- und forstwirtschaftlichen Grundstücke sowie die für den Betrieb unentbehrlichen Gebäude zum Ertragswert besteuert werden, solange diese Nut- zung andauert. Der Staatsrat erlässt die nötigen Vorschriften für die Bewertung der Grundstücke (Art. 53 Abs. 3 DStG). Das StHG sieht in Art. 14 vor, dass bei der Bewertung des Vermögens zum Verkehrswert der Er- tragswert angemessen berücksichtigt werden kann (Abs. 1). Die land- und forstwirtschaftlich ge- nutzten Grundstücke werden zum Ertragswert bewertet. Das kantonale Recht kann bestimmen, dass bei der Bewertung der Verkehrswert mitberücksichtigt wird (Abs. 2; zum kantonalen Spiel- raum vgl. Urteile BGer 2C_316/2010 vom 29. Juli 2010, vom 22. Juni 2015 in StE 2015 B 52.21 Nr. 13 E. 2.1 sowie 2C_834/2015 vom 15. Februar 2016; allgemein zur Wertbemessung des unbe- weglichen Vermögens siehe BLUMENSTEIN / LOCHER, System des schweizerischen Steuerrechts, 7. Aufl. 2016, S. 278 ff. mit weiteren Hinweisen). Der Staatsratsbeschluss sieht in Art. 13 vor, dass der Steuerwert von nicht landwirtschaftlichen Liegenschaften in der Regel aufgrund des arithmetischen Mittels zwischen dem Verkehrswert (Marktwert) und dem zweifachen Ertragswert ermittelt wird (Abs. 1). Der Steuerwert der Liegen- schaften, die zum Geschäftsvermögen gehören, wird (auch) in Anwendung von Abs. 1 ermittelt. Für Liegenschaftsgüter ohne Ertrag wird der Steuerwert jedoch aufgrund des arithmetischen Mit- tels zwischen dem zweifachen Verkehrswert und dem Ertragswert ermittelt (Abs. 2 der Bestim- mung). Der Ertragswert einer nichtlandwirtschaftlichen Liegenschaft ergibt sich durch Kapitalisie- rung des Bruttoertrages der Liegenschaft mit einem näher bestimmten Satz (zwischen 8½ und 8%). Der Bruttoertrag entspricht dem Gesamtmietwert der Liegenschaft oder der Wohnung des Eigentümers und dem Mietwert der Berufs- und Geschäftsräume im Jahr sowie der Mietzinsein- nahmen entsprechend der Mietzinsaufstellung für die Wohnungen, Geschäfts- und übrigen Räume (vgl. Art. 14). Der Verkehrswert des Bodens oder eines Gebäudes wird anhand des mittleren Prei- ses ermittelt, welcher für gleiche oder ähnliche Liegenschaften in derselben Gegend während einer längeren Zeitspanne bei Verkäufen erzielt wurde und mit Wahrscheinlichkeit auch für die betref- fende Liegenschaft erzielt werden könnte. Die unter dem Einfluss spezieller oder persönlicher Um- stände erzielten Veräusserungspreise sind nicht zu berücksichtigen (Art. 15 Abs. 1). Der Ver- kehrswert einer nichtlandwirtschaftlichen Liegenschaft kann grundsätzlich nicht unter dem Er- tragswert liegen (Art. 15 Abs. 2). c) Wie der Steuergerichtshof bereits früher hervorgehoben hat, ist der Staatsratsbeschluss noch unter dem alten Steuergesetz ergangen, dessen Art. 71 Abs. 1 ("Das Grundeigentum wird zum Ertragswert unter billiger Berücksichtigung seines Verkehrswertes eingeschätzt.") anders for- muliert war als die neue einschlägige Bestimmung. Dabei war weitgehend (noch) nicht näher zu prüfen, ob der beibehaltene Ausführungsbeschluss in allen Auswirkungen dem neuen DStG sowie dem StHG entspreche und verfassungskonform sei (vgl. Urteil VGer FR 4F 04 157/159 vom 23. Dezember 2005 in FZR 2006 73, mit weiteren Hinweisen). Zudem wurde in einem (ebenfalls noch altrechtlichen) Urteil vom 15. Oktober 2004 (VGer FR in FZR 2004 277) in teilweiser Änderung der Rechtsprechung Art. 13 Abs. 2, zweiter Satz, des Staatsratsbeschlusses insofern als gesetzwidrig beurteilt, als danach entgegen Art. 71 Abs. 1 StG für die Bewertung von</w:t>
      </w:r>
    </w:p>
    <w:p>
      <w:r>
        <w:t>Kantonsgericht KG Seite 6 von 8 geschäftlichen Liegenschaften ohne Ertrag nur dem investierten Wert oder dem Buchwert, jedoch keineswegs dem Ertragswert (möglicher Ertrag) Rechnung zu tragen gewesen wäre. Dieses Urteil löste dann eine entsprechende Anpassung des Staatsratsbeschlusses aus (vgl. Verordnung vom 28. März 2006 zur Änderung des Beschlusses über die Besteuerung der nichtlandwirtschafltichen Liegenschaften, ASF 2006_027). Unter diesen Umständen ist auch die Bedeutung des von der Vorinstanz angerufenen (unveröf- fentlichten) Urteils der Steuerrekurskommission vom 16. Oktober 1964 (KRK 1964 115 ff.) zu rela- tivieren. Dies gilt umso mehr, als dieses unter dem noch älteren Recht und lange vor Erlass des Staatsratsbeschlusses ergangen ist. Zudem ging es in jenem Fall um die Festsetzung des Steuer- wertes für die kommunale Liegenschaftensteuer, welche von einer Immobiliengesellschaft auf zwei in Überbauung begriffenen Grundstücken zu entrichten war, für welche noch kein kantonaler Steu- erwert hatte festgelegt werden können. Dass dann die Rekurskommission unter Berücksichtigung dieses Kontextes und der besonderen Natur der Liegenschaftensteuer annahm, der massgebende Steuerwert entspreche den getätigten Investitionen, ist nicht zwingend und verallgemeinernd auf die heutige kantonale Rechtslage zu übertragen (vgl. dazu insbesondere das bereits erwähnte Urteil vom 15. Oktober 2004). Und wenn im Urteil ohne weitere Differenzierung dargelegt wird, bei einer im Bau befindlichen Liegenschaft seien Anlagekosten, Ertragswert und Verkehrswert - bis zum Beweis des Gegenteils - identisch, so erscheint dies in solcher Absolutheit keineswegs über alle Zweifel erhaben. Der Steuergerichtshof hat denn z.B. im bereits erwähnten Urteil vom 15. Ok- tober 2004 auch darauf hingewiesen, dass der Anlagewert eines Baugrundstücks zwar zur Be- stimmung des Verkehrswertes herangezogen werden könne, jedoch nicht dem (auch nicht virtuel- len oder potentiellen) Ertragswert entspreche, da bei einem ansteigenden Immobilienmarkt auch der konjunkturelle Mehrwert in die Investitionsstragie einbezogen werde. Im Übrigen können ja gerade auch bei selbstbenutzem Wohneigentum Verkehrswert und Ertragswert durchaus erheblich voneinander abweichen. d) Aufgrund des klaren Wortlautes der anwendbaren Bestimmungen ist im voliegenden Fall davon auszugehen, dass der Steuerwert von nichtlandwirtschatlichen Liegenschaften aufgrund des Verkehrswertes des Bodens und der Bauten unter Berücksichtigung des Ertragswertes festzu- setzen ist (Mischrechnung). Die Parteien sind sich nunmehr einig, dass für die zur Diskussion stehende Privatliegenschaft Art. 13 Abs. 1 des Staatsratsbeschlusses und nicht Abs. 2 der Bestimmung anwendbar ist. Um- stritten ist einzig noch, ob während der Überbauung des Grundstücks zur Ermittlung des Steuer- wertes ein Ertragswert von CHF 0.- (doppelt) zu berücksichtigen ist bzw. wie hoch ein allenfalls in die Berechnungsformel einzubeziehender Ertragswert ausfallen kann. Entgegen der Ansicht der Beschwerdeführer ist es einerseits nicht so, dass einer im Bau befindli- chen Liegenschaft - wohlverstanden im Hinblick auf die Bestimmung des Steuerwertes für die Vermögensbesteuerung - überhaupt kein Ertragswert zugeordnet werden kann. Diesbezüglich geht es ja nicht nur um einen aktuell tatsächlich erzielten, sondern allenfalls um den grundsätzlich möglichen Ertrag (z.B. grundsätzlich erzielbarer marktkonformer Baurechtszins des Landes). Der Steuergerichtshof hat denn auch schon verschiedentlich entschieden, dass für die Ermittlung des Ertragswertes, welcher für die Festsetzung des Steuerwertes einer Liegenschaft massgebend ist, nicht auf den tatsächlich erzielten, sondern auf den möglichen Ertrag abzustellen ist (vgl. z.B. Ur- teile VGer FR vom 8. März 1996 in FZR 1996 127 und 4F 03 198/199 vom 21. Dezember 2006). Bei vermieteten oder selbstgenutzen Liegenschaften wird denn grundsätzlich auch der mögliche Mietertrag oder Eigenmietwert zur Bestimmung des Ertragswertes herangezogen, wenn die tat- sächliche Nutzung - aus welchen Gründen auch immer - vorübergehend entfällt. Ebenso wenig</w:t>
      </w:r>
    </w:p>
    <w:p>
      <w:r>
        <w:t>Kantonsgericht KG Seite 7 von 8 stellt die Tatsache, dass der Ertragswert allenfalls nicht ohne Weiteres schematisch nach Art. 14 des Staatsratsbeschlusses ermittelt werden kann, kein zwingendes Hindernis für dessen Berück- sichtigung dar. Im Übrigen könnte die zweifache Berücksichtigung eines Ertragswertes CHF 0.- auch kaum mehr als angemessene Berücksichtigung des Ertragswertes gelten. Es ist ja nicht zu übersehen, dass im dargelegten System der Vermögensbesteuerung dem Verkehrswert grund- sätzlich doch das Hauptgewicht zukommt. Eine allzu krasse Abweichung davon würde auch den harmonisierungs- und verfassungsrechtlichen Vorgaben nicht mehr gerecht (vgl. dazu etwa Urteil BGer 2A.384/2004 vom 21. April 2005 E. 3.4.2). Andererseits geht es auch nicht an, die Berücksichtigung des Ertragswertes faktisch auszuschlies- sen, indem einfach auf die Anlagekosten zurückgegriffen wird (vgl. dazu das bereits erwähnte Ur- teil des Steuergerichtshofs vom 15. Oktober 2004). Entgegen der Ansicht der Vorinstanz kann der Ertragswert einer Liegenschaft im Bau - insbesondere wenn es sich wie vorliegend um eine zur Selbstbenutzung bestimmte Liegenschaft handelt - nicht ohne Weiteres mit "dem investierten Ka- pital, welches dem Grundstück während der Bauphase zufliesst", gleichgestellt werden. Diese Gleichsetzung ergibt sich übrigens auch nicht aus dem von der Vorinstanz angerufenen Begriff des Ertragswertes gemäss dem Schätzerhandbuch. Zudem erweist sich die Berechnungsweise der Vorinstanz als inkohärent: In der Tat ist es widersprüchlich, einerseits für das Land den Ertrags- wert CHF 0.- (zweifach) zu berücksichtigen und andererseits für die angefangenen Bauten von einem Ertragswert auszugehen, welcher den getätigten Bauinvestitionen gleichgesetzt wird. Schliesslich haben die Beschwerdeführer überzeugend aufgezeigt, zu welch völlig unhaltbaren Resultaten die angewandte Formel führt. Es kann ja nicht sein, dass der Steuerwert einer im Bau befindlichen (zur Selbstbenutzung bestimmten) Liegenschaft gleich oder gar massiv höher festge- setzt wird als nach deren Vollendung. Demzufolge ist der angefochtene Entscheid aufzuheben und die Angelegenheit zwecks neuer Festsetzung des Steuerwertes an die Vorinstanz zurückzuweisen. 2. a) Dem Ausgang des Verfahrens entsprechend (Art. 131 VRG) sowie in Anwendung von Art. 133 VRG sind keine Kosten zu erheben. b) Eine Parteientschädigung wurde nicht beantragt.</w:t>
      </w:r>
    </w:p>
    <w:p>
      <w:r>
        <w:t>Kantonsgericht KG Seite 8 von 8 Der stellvertretende Präsident entscheidet: in Anwendung von Art. 100 Abs. 1 lit. c VRG I. Direkte Bundessteuer (607 2015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