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21 vom 17. Dezember 2015</w:t>
      </w:r>
    </w:p>
    <w:p>
      <w:r>
        <w:t>FR Kantonsgericht, 2015-12-17, FR</w:t>
      </w:r>
    </w:p>
    <w:p>
      <w:r>
        <w:rPr>
          <w:b/>
        </w:rPr>
        <w:t xml:space="preserve">Quelle: </w:t>
      </w:r>
      <w:r>
        <w:t>https://mcp.opencaselaw.ch/entscheid/fr_gerichte_607_2015_21</w:t>
      </w:r>
    </w:p>
    <w:p>
      <w:r>
        <w:t>FR: FR_GERICHTE 607 2015 21 du 17 décembre 2015</w:t>
      </w:r>
    </w:p>
    <w:p>
      <w:r>
        <w:t>IT: FR_GERICHTE 607 2015 21 del 17 dicembre 2015</w:t>
      </w:r>
    </w:p>
    <w:p>
      <w:pPr>
        <w:pStyle w:val="Heading2"/>
      </w:pPr>
      <w:r>
        <w:t>Regeste</w:t>
      </w:r>
    </w:p>
    <w:p>
      <w:r>
        <w:t>Arrêt de la Cour fiscale du Tribunal cantonal | Öffentliche kommunale Abgaben</w:t>
      </w:r>
    </w:p>
    <w:p>
      <w:pPr>
        <w:pStyle w:val="Heading2"/>
      </w:pPr>
      <w:r>
        <w:t>Erwägungen</w:t>
      </w:r>
    </w:p>
    <w:p>
      <w:r>
        <w:rPr>
          <w:b/>
        </w:rPr>
        <w:t>E. 3</w:t>
      </w:r>
    </w:p>
    <w:p>
      <w:r>
        <w:t>mars 2015; que, compte tenu de l’objet limité à la recevabilité de la réclamation, il n’y a pas lieu d’examiner la question de savoir si la recourante était étudiante durant la période qui a fait l’objet de la taxe. Si tel était effectivement le cas, il lui appartenait en effet de le faire savoir à la Commune dans le délai légal de réclamation; que, pour l’ensemble des motifs qui précèdent, le recours doit être rejeté, pour autant que recevable, et la décision attaquée confirmée; que la recourante ayant succombé, les frais de procédure, fixés à CHF 300.-, sont mis à sa charge, conformément à l’art. 131 CPJA et aux art. 1 et 2 du Tarif sur les frais de procédure et des indemnités en matière de juridiction administrative (RSF 150.12). Le Président arrête: I. Le recours est rejeté, pour autant que recevable. Partant, la décision sur réclamation de la Commune de Marly du 14 avril 2015 est confirmée. II. Un émolument de CHF 300.- est mis à la charge de A.________ au titre de frais de justice. Il est compensé par l’avance de frais versée. III. Communication. Conformément aux art.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17 décembre 2015/msu/smu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