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40 vom 16. Dezember 2015</w:t>
      </w:r>
    </w:p>
    <w:p>
      <w:r>
        <w:t>FR Kantonsgericht, 2015-12-16, FR</w:t>
      </w:r>
    </w:p>
    <w:p>
      <w:r>
        <w:rPr>
          <w:b/>
        </w:rPr>
        <w:t xml:space="preserve">Quelle: </w:t>
      </w:r>
      <w:r>
        <w:t>https://mcp.opencaselaw.ch/entscheid/fr_gerichte_607_2014_40</w:t>
      </w:r>
    </w:p>
    <w:p>
      <w:r>
        <w:t>FR: FR_GERICHTE 607 2014 40 du 16 décembre 2015</w:t>
      </w:r>
    </w:p>
    <w:p>
      <w:r>
        <w:t>IT: FR_GERICHTE 607 2014 40 del 16 dicembre 2015</w:t>
      </w:r>
    </w:p>
    <w:p>
      <w:pPr>
        <w:pStyle w:val="Heading2"/>
      </w:pPr>
      <w:r>
        <w:t>Regeste</w:t>
      </w:r>
    </w:p>
    <w:p>
      <w:r>
        <w:t>Arrêt de la Cour fiscale du Tribunal cantonal | Einkommens- und Vermögenssteuer der natürlichen Personen</w:t>
      </w:r>
    </w:p>
    <w:p>
      <w:pPr>
        <w:pStyle w:val="Heading2"/>
      </w:pPr>
      <w:r>
        <w:t>Erwägungen</w:t>
      </w:r>
    </w:p>
    <w:p>
      <w:r>
        <w:rPr>
          <w:b/>
        </w:rPr>
        <w:t>E. 4</w:t>
      </w:r>
    </w:p>
    <w:p>
      <w:r>
        <w:t>a) Au vu de ce qui précède, le recours est rejeté dans la mesure où recevable. 1http://www.fr.ch/tc/fr/pub/jurisprudence/jurisprudence_2013/section_administrative/2010/juris_admin_01_10.htm sous le numéro 1</w:t>
      </w:r>
    </w:p>
    <w:p>
      <w:r>
        <w:t>Tribunal cantonal TC Page 6 de 7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300.-. II. Impôt cantonal (607 2013 41)</w:t>
      </w:r>
    </w:p>
    <w:p>
      <w:r>
        <w:rPr>
          <w:b/>
        </w:rPr>
        <w:t>E. 5</w:t>
      </w:r>
    </w:p>
    <w:p>
      <w:r>
        <w:t>a) Le recours, déposé le 25 juillet 2013 contre une décision du 28 juin2013, l’a été dans le délai et les formes prévus aux art. 50 al. 1 de la loi du 14 décembre 1990 sur l’harmonisation des impôts directs des cantons et des communes (LHID; RS 642.14), 180 de la loi fribourgeoise du</w:t>
      </w:r>
    </w:p>
    <w:p>
      <w:r>
        <w:rPr>
          <w:b/>
        </w:rPr>
        <w:t>E. 6</w:t>
      </w:r>
    </w:p>
    <w:p>
      <w:r>
        <w:t>a) En droit cantonal également, le contribuable peut adresser à l’autorité de taxation une réclamation écrite contre la décision de taxation dans les 30 jours qui suivent sa notification (art. 175 al. 1 LICD et 48 al. 1 LHID). 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(art. 150 al. 3 LICD). S'agissant des motifs d'empêchement justifiant la restitution d'un délai, les mêmes principes qu'en matière d'impôt fédéral direct prévalent au niveau cantonal. b) Pour des motifs identiques à ceux développés en matière d'impôt fédéral direct, c'est à juste titre que l'autorité intimée a déclaré la réclamation irrecevable.</w:t>
      </w:r>
    </w:p>
    <w:p>
      <w:r>
        <w:rPr>
          <w:b/>
        </w:rPr>
        <w:t>E. 7</w:t>
      </w:r>
    </w:p>
    <w:p>
      <w:r>
        <w:t>a) Le recours formé en droit cantonal est lui aussi rejeté dans la mesure de sa recevabilité.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300.-.</w:t>
      </w:r>
    </w:p>
    <w:p>
      <w:r>
        <w:t>Tribunal cantonal TC Page 7 de 7 le Président prononce: en application de l'art. 100 al. 1 let. c CPJA en relation avec l'art. 186 LICD I. Impôt fédéral direct (607 2014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