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2024 19 vom 3. Dezember 2024</w:t>
      </w:r>
    </w:p>
    <w:p>
      <w:r>
        <w:t>FR Kantonsgericht, 2024-12-03, FR</w:t>
      </w:r>
    </w:p>
    <w:p>
      <w:r>
        <w:rPr>
          <w:b/>
        </w:rPr>
        <w:t xml:space="preserve">Quelle: </w:t>
      </w:r>
      <w:r>
        <w:t>https://mcp.opencaselaw.ch/entscheid/fr_gerichte_605_2024_19</w:t>
      </w:r>
    </w:p>
    <w:p>
      <w:r>
        <w:t>FR: FR_GERICHTE 605 2024 19 du 3 décembre 2024</w:t>
      </w:r>
    </w:p>
    <w:p>
      <w:r>
        <w:t>IT: FR_GERICHTE 605 2024 19 del 3 dicembre 2024</w:t>
      </w:r>
    </w:p>
    <w:p>
      <w:pPr>
        <w:pStyle w:val="Heading2"/>
      </w:pPr>
      <w:r>
        <w:t>Regeste</w:t>
      </w:r>
    </w:p>
    <w:p>
      <w:r>
        <w:t>Arrêt de la Ie Cour des assurances sociales du Tribunal cantonal | Arbeitslosenversicherung</w:t>
      </w:r>
    </w:p>
    <w:p>
      <w:pPr>
        <w:pStyle w:val="Heading2"/>
      </w:pPr>
      <w:r>
        <w:t>Erwägungen</w:t>
      </w:r>
    </w:p>
    <w:p>
      <w:r>
        <w:rPr>
          <w:b/>
        </w:rPr>
        <w:t>E. 31</w:t>
      </w:r>
    </w:p>
    <w:p>
      <w:r>
        <w:t>juillet 2023. De plus, elle ne disposait à ce stade que d’une proposition d’engagement sans date d’entrée en fonction et soumise aux conditions de l’obtention de la « carte d’Accréditation » et de la réussite de la « Formation de base » (bordereau SPE, pièce 13). Cette simple possibilité d'engagement ne constituait pas une perspective suffisamment certaine pour justifier un refus d'emploi ou, en l'occurrence, un refus de participer à un programme d'emploi temporaire. Ainsi, au vu des circonstances, notamment puisque la recourante ne pouvait être certaine que les discussions qu'elle avait avec la société C.________ SA allaient déboucher sur un emploi stable, aucun motif ne lui permettait de refuser de débuter le programme d'emploi temporaire auquel elle avait été assignée. Son argument selon lequel il était normal qu’elle privilégie un engagement en CDI auprès de C.________ SA à la mesure PET n’est dès lors pas pertinent, puisqu’elle n’avait pas signé de contrat fixe au moment où elle a refusé la mesure. On rappellera en effet que, tant qu'un assuré n'est pas certain d'obtenir un autre emploi, il a l'obligation d'accepter immédiatement l'emploi qui se présente, respectivement prendre part aux programmes d'emploi temporaire. Ce n'est que si l'engagement est imminent qu'un assuré peut refuser un emploi libre immédiatement. L'engagement doit cependant avoir lieu dans un délai maximal d'un mois (cf. supra consid. 2.4).</w:t>
      </w:r>
    </w:p>
    <w:p>
      <w:r>
        <w:t>Tribunal cantonal TC Page 8 de 11 La recourante semblait du reste en être parfaitement consciente, puisqu’elle a déclaré au responsable du PET qu’elle serait très certainement pénalisée par le chômage (cf. courriel du 19 juin 2023). De surcroît, au final, l’engagement chez C.________ SA ne s’est pas concrétisé, ce qui constitue un risque auquel l'avait rendue attentive sa conseillère ORP, qui lui avait rappelé « d’être prudente tant que le contrat de travail n’a pas été signé » (p.-v. entretien de conseil du 11 mai 2023, bordereau SPE, pièce 18). 5.3. Les explications de la recourante relatives aux prétendues mauvaises conditions de travail auprès de D.________ appuient encore le fait qu’elle n’était en réalité pas disposée à accepter cette mesure, qu’elle a dès lors refusée. Il en va de même de ses justifications liées au fait qu’elle n’avait pas été engagée auprès de D.________ suite au stage d’un jour réalisé au mois d’avril 2023, ce qui prouverait, selon elle, qu’elle n’avait pas les compétences requises pour ce poste. Au contraire, en dépit de ce non-engagement au terme du stage, un PET lui a été proposé quelques semaines plus tard et il ressort de ses échanges avec le responsable du PET que sa motivation a été saluée. Partant, on ne peut pas suivre l’assurée lorsqu’elle allègue qu’elle n’aurait de toute façon pas eu les compétences nécessaires pour envisager un engagement au sein de cet établissement. Au surplus, on relèvera à cet égard l’incohérence de sa position puisque, dans le cadre de la procédure d’opposition, elle a soutenu – à tort – que cette mesure PET aurait été « automatiquement suivie d’un CDI », ce qui était, selon elle, incompatible avec ses projets personnels et professionnels. 5.4. Dans un dernier argument, la recourante fait valoir qu’elle n’était pas apte au placement en raison de ses problèmes de santé. Elle produit à cet égard un courrier de l’OAI, relatif à une expertise médicale mise en œuvre dans le cadre de sa demande de prestations, ainsi que différents rapports de son médecin traitant, le Dr F.________, à savoir : - une attestation du 13 avril 2023 selon laquelle l’assurée « doit résilier son contrat de travail pour des raisons médicales dès le 17.04.2023 »; - un certificat médical en cas de dissolution des rapports de travail pour des raisons médicales, daté du 24 avril 2023, selon lequel l’assurée souffre de « trouble de l’adaptation réaction mixte » et de « douleurs abdominales invalidantes sur endométriose », et attestant de la possibilité d’exercer l’activité habituelle d’employée de commerce sous réserve de pouvoir, pour des raisons médicales, disposer de 2 heures de pause à domicile pour le repas de midi; - une attestation du 21 août 2023 selon laquelle l’assurée « ne peut, pour des raisons médicales, travailler à un taux supérieur de 50%. Ceci pour une durée indéterminée ». Ces éléments sont toutefois dénués de pertinence dans le cadre du présent litige. S’agissant de l’atttestation du 13 avril 2023, celle-ci ne précise pas quel contrat de travail a dû être résilié pour raisons médicales dès le 17 avril 2023. Le PET litigieux n’ayant pas encore été décidé à cette date, il paraît toutefois douteux qu’il soit visé par cette attestation. Il en va de même du certificat du 24 avril 2023, étant au surplus précisé que ce n’est pas en raison de ses restrictions médicales que la recourante a refusé son entrée en fonction au 20 juin 2023,</w:t>
      </w:r>
    </w:p>
    <w:p>
      <w:r>
        <w:t>Tribunal cantonal TC Page 9 de 11 mais pour des motifs personnels, liés notamment au décès de sa mère et à son proche mariage, évoqués ci-avant. Quant à l’attestation du 21 août 2023, elle ne saurait s’appliquer rétroactivement à la période du PET litigieux, ce qu'elle ne prévoit d'ailleurs pas. 5.5. Pour terminer, et comme l’a déjà souligné l’autorité intimée, si l’on peut comprendre les difficultés personnelles de la recourante, il n'en demeure pas moins que celles-ci ne la dispensaient pas du respect de ses obligations vis-à-vis du chômage. Son refus de débuter à la date prévue le PET auquel elle avait été assignée, alors qu’elle n’avait pas la certitude d’un autre engagement, constitue bien un refus de participer à une mesure relative au marché du travail. Elle doit par conséquent assumer les conséquences du non-suivi de l’obligation qui lui avait été faite de réduire son dommage envers l’assurance-chômage, en l’occurrence par le biais de sa participation à ce PET. L'autorité intimée était par conséquent fondée à prononcer à son encontre une suspension de son droit à l'indemnité de chômage en application de l'art. 30 al. 1 let. d LACI. 6. Discussion sur la durée de la suspension Il reste à examiner la gravité de la faute commise par l’assurée et, partant, l’étendue de la suspension qui doit être prononcée. 6.1. Conformément à l'art. 30 al. 3, 3ème phr. LACI, la durée de la suspension est proportionnelle à la gravité de la faute et ne peut excéder, par motif de suspension, 60 jours. D'après l'art. 45 al. 3 de l'ordonnance du 31 août 1983 sur l’assurance-chômage obligatoire et l’indemnité en cas d’insolvabilité (OACI; RS 837.02), la suspension dure de 1 à 15 jours en cas de faute légère (let. a), de 16 à 30 jours en cas de faute de gravité moyenne (let. b) et de 31 à 60 jours en cas de faute grave (let. c). La durée de la suspension du droit à l'indemnité de chômage est donc fixée compte tenu non seulement de la faute, mais également du principe de proportionnalité (arrêts TF 8C_675/2014 du 12 décembre 2014 consid. 5.3, 8C_425/2014 du 12 août 2014 consid. 5.1 et 8C_64/2012 du 26 juin 2012 consid. 2.1). On précisera ici que les difficultés financières que connaît un assuré ne sont pas à prendre en considération lors de la fixation de la durée de la suspension (arrêt TF C 128/04 du 20 septembre 2005 consid. 2.3). 6.2. Dans ses directives (cf. Bulletin LACI Indemnité de chômage [IC] Marché du travail / Assurance-chômage), le SECO a édicté une échelle des suspensions à l'intention des autorités cantonales. S'agissant du motif de suspension relatif à la non-présentation à un emploi temporaire, à l'abandon de cet emploi par l’assuré ou à son interruption par le responsable du programme, pour la première fois – qui peut être appliqué par analogie au cas d’espèce – la faute est qualifiée de moyenne et</w:t>
      </w:r>
    </w:p>
    <w:p>
      <w:r>
        <w:t>Tribunal cantonal TC Page 10 de 11 donne lieu à une suspension du droit aux indemnités comprise entre 21 à 25 jours timbrés (D79, ch. 3.C.1). Dans ce domaine, le juge ne s'écarte de l'appréciation de l'administration que s'il existe de solides raisons de le faire (ATF 123 V 150 consid. 2 et arrêt TF C 351/01 du 21 mai 2002 consid. 2b/aa). 6.3. En l’occurrence, c’est à juste titre que l’autorité a considéré que l’assurée avait commis une faute de gravité moyenne au sens de l’art. 45 al. 3 let. b OACI. Eu égard au degré de gravité de la faute commise et à l'ensemble des circonstances du cas d'espèce, en fixant à 21 jours la durée de la suspension, l'autorité intimée n'a commis aucun excès ou abus de son pouvoir d'appréciation, ni n'est tombée dans l'arbitraire. En particulier, elle est demeurée dans la limite inférieure du barème prévu par l’art. 45 al. 3 let. b OACI en cas de faute de gravité moyenne. Elle est également restée dans le barème établi par le SECO applicable à la non- présentation à un emploi temporaire ou à l’abandon de cet emploi par l’assuré. La durée de la suspension prononcée n’apparaît dès lors nullement disproportionnée. Il faut en effet retenir que, par son comportement, la recourante a empêché la mise en œuvre d'un programme d'emploi temporaire. C'est dès lors cette responsabilité vis-à-vis de l'assurance-chômage qu'elle doit aujourd'hui assumer. 7. Sort du recours et frais Au vu de tout ce qui précède, le recours du 18 janvier 2024 doit être rejeté et la décision sur opposition du 16 janvier 2024 confirmée. En application du principe de la gratuité de la procédure valant en la matière (art. 61 let. fbis LPGA), il n'est pas perçu de frais de justice. Vu le sort du recours, il n’est pas non plus alloué d’indemnité de partie. (dispositif en page suivante)</w:t>
      </w:r>
    </w:p>
    <w:p>
      <w:r>
        <w:t>Tribunal cantonal TC Page 11 de 11 la Cour arrête : I. Le recours est rejeté. Partant, la décision sur opposition du 16 janvier 2024 est confirmée. II. Il n’est pas perçu de frais, ni alloué d’indemnité de partie.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3 décembre 2024/isc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