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128 vom 30. Oktober 2024</w:t>
      </w:r>
    </w:p>
    <w:p>
      <w:r>
        <w:t>FR Kantonsgericht, 2024-10-30, FR</w:t>
      </w:r>
    </w:p>
    <w:p>
      <w:r>
        <w:rPr>
          <w:b/>
        </w:rPr>
        <w:t xml:space="preserve">Quelle: </w:t>
      </w:r>
      <w:r>
        <w:t>https://mcp.opencaselaw.ch/entscheid/fr_gerichte_605_2024_128</w:t>
      </w:r>
    </w:p>
    <w:p>
      <w:r>
        <w:t>FR: FR_GERICHTE 605 2024 128 du 30 octobre 2024</w:t>
      </w:r>
    </w:p>
    <w:p>
      <w:r>
        <w:t>IT: FR_GERICHTE 605 2024 128 del 30 ottobre 2024</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Interjeté en temps utile et dans les formes légales auprès de l'autorité judiciaire compétente par un assuré directement touché par la décision sur opposition attaquée, le recours est recevable.</w:t>
      </w:r>
    </w:p>
    <w:p>
      <w:r>
        <w:rPr>
          <w:b/>
        </w:rPr>
        <w:t>E. 2</w:t>
      </w:r>
    </w:p>
    <w:p>
      <w:r>
        <w:t>Dispositions relatives au catalogue de prestations de l’assurance-accidents En vertu de l'art. 6 al. 1 de la loi du 20 mars 1981 sur l'assurance-accidents (LAA; RS 832.20), les prestations d'assurance sont allouées en cas d'accident professionnel, d'accident non professionnel et de maladie professionnelle. La LAA énumère les différentes prestations qui peuvent être allouées suite à un accident. Ainsi, si les conditions sont remplies, un assuré peut prétendre à la prise en charge du traitement médical (art. 10), au remboursement de divers frais (art. 11 ss) et à des prestations en espèces (indemnité journalière, art. 14 ss ; rente d’invalidité, art. 18 ss ; IPAI, art. 24 ss ; allocation pour impotent, art. 26 ss).</w:t>
      </w:r>
    </w:p>
    <w:p>
      <w:r>
        <w:rPr>
          <w:b/>
        </w:rPr>
        <w:t>E. 3</w:t>
      </w:r>
    </w:p>
    <w:p>
      <w:r>
        <w:t>Discussion Le recourant conclut à l’octroi d’une indemnité pour tort moral.</w:t>
      </w:r>
    </w:p>
    <w:p>
      <w:r>
        <w:rPr>
          <w:b/>
        </w:rPr>
        <w:t>E. 3.1</w:t>
      </w:r>
    </w:p>
    <w:p>
      <w:r>
        <w:t>Il est vrai qu’une personne victime de lésions corporelles peut prétendre à une indemnité pour tort moral si ces lésions ont entrainé une importante douleur physique ou morale ou qu’elles ont causé une atteinte durable à la santé (art. 47 CO ; cf. not. arrêt TF 6B_909/2014 du 21 mai 2015 consid. 3.3.1). Cette indemnité prévue par le droit civil ne peut toutefois être exigée que de l’auteur du dommage. En effet, sous l’angle civil, la victime doit s’adresser à la personne responsable de ses lésions corporelles. Or, de toute évidence, les assureurs-accidents ne peuvent pas être tenus civilement responsables des accidents de leurs assurés. Ainsi, le recourant ne peut pas exiger de la Suva qu’elle lui verse une indemnité pour tort moral au sens du droit civil, l’assureur n’ayant pas causé l’accident dont il a été victime.</w:t>
      </w:r>
    </w:p>
    <w:p>
      <w:r>
        <w:t>Tribunal cantonal TC Page 4 de 5 C’est donc à juste titre que l’autorité a déclaré l'opposition irrecevable.</w:t>
      </w:r>
    </w:p>
    <w:p>
      <w:r>
        <w:rPr>
          <w:b/>
        </w:rPr>
        <w:t>E. 3.2</w:t>
      </w:r>
    </w:p>
    <w:p>
      <w:r>
        <w:t>Cela étant, on peut se demander si le recourant n’assimile pas l’IPAI à une sorte de « tort moral » et s’il ne souhaite pas, ainsi, percevoir un montant plus élevé qui tiendrait compte de ses atteintes psychiques. La Suva a en effet refusé de tenir compte de ces derniers troubles. Elle a estimé que l’accident était de gravité moyenne, peut-être même à la limite inférieure de la catégorie des accidents moyens. Elle a ainsi rappelé que, dans ce type de cas, plusieurs critères devaient être remplis pour entrainer la responsabilité de l’assureur-accidents, ce qui n’était pas le cas en l’espèce. En effet, le recourant a été touché dans sa main non-dominante et a immédiatement été pris en charge. Les trois derniers doigts ont certes été touchés, le majeur de manière superficielle et l’annulaire et l’auriculaire de manière plus sévère. Mais les fonctions vitales n’ont pas été atteintes et la vie du recourant n’a pas non plus été mise en danger. En outre, l’accident ne s’est pas déroulé dans des circonstances particulièrement dramatiques, même s’il a pu sembler impressionnant au recourant. Le raisonnement de la Suva ne saurait être critiqué. Sans sous-estimer l’accident, on ne saurait objectivement retenir que celui-ci était suffisamment grave au point d’entrainer, à lui seul, des troubles psychiques importants et durables. A cet égard, on rappellera la jurisprudence qui n’admet l’allocation d’une IPAI pour les troubles psychiques que dans des cas exceptionnels, à savoir lorsque l’accident est d’une gravité élevée ou dans la moyenne supérieure, et qu’il a engendré une atteinte psychique dont la guérison ou l’amélioration est indiscutablement et pratiquement exclue à vie (arrêt TF 8C_917/2010 du 28 septembre 2011, consid. 5.2.2 et les références citées). Or, ceci ne saurait, de toute évidence, pas être retenu ici. Partant, il ne peut être tenu compte des troubles psychiques dans le calcul de l’IPAI.</w:t>
      </w:r>
    </w:p>
    <w:p>
      <w:r>
        <w:rPr>
          <w:b/>
        </w:rPr>
        <w:t>E. 3.3</w:t>
      </w:r>
    </w:p>
    <w:p>
      <w:r>
        <w:t>Il ressort du dossier que la Suva a fourni un certain nombre de prestations. Elle a ainsi pris en charge les frais de traitement et l’incapacité de travail, a financé un entrainement progressif pour le retour du travail et a alloué une rente de 29% et une IPAI de 17.5% (soit CHF 25'935.00), sans tenir compte des troubles psychiques. Rien ne permet en l’espèce, au final, de critiquer les décisions de l’autorité. Le recourant ne soutient au demeurant pas non plus formellement que la Suva aurait dû étendre ses prestations. Le 2 juillet 2024, il a expliqué qu’il n’avait pas l’intention de contester les décisions de l’autorité. Sa demande de tort moral aurait uniquement été déposée en raison d’un conseil de sa psychiatre, qui a rédigé un rapport médical succinct en soutenant que, au vu « d’un état de stress post- traumatique […] et des manifestations dépressives persistantes », son patient devait avoir droit à</w:t>
      </w:r>
    </w:p>
    <w:p>
      <w:r>
        <w:t>Tribunal cantonal TC Page 5 de 5 « une compensation pour tort moral et pour conséquences psychiatriques de longue date » (doc. 293). Toutefois, pour toutes les raisons évoquées ci-dessus, il ne peut être donné suite à la demande.</w:t>
      </w:r>
    </w:p>
    <w:p>
      <w:r>
        <w:rPr>
          <w:b/>
        </w:rPr>
        <w:t>E. 4</w:t>
      </w:r>
    </w:p>
    <w:p>
      <w:r>
        <w:t>Synthèse, frais et dépens Au vu de tout ce qui précède, le recours est rejeté. Il n’est pas perçu de frais. Le recourant n’étant pas représenté, il n’est pas alloué d’indemnité de partie. la Cour arrête : I. Le recours est rejeté. II. Il n’est pas perçu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octobre 2024/dhe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