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79 vom 6. März 2024</w:t>
      </w:r>
    </w:p>
    <w:p>
      <w:r>
        <w:t>FR Kantonsgericht, 2024-03-06, FR</w:t>
      </w:r>
    </w:p>
    <w:p>
      <w:r>
        <w:rPr>
          <w:b/>
        </w:rPr>
        <w:t xml:space="preserve">Quelle: </w:t>
      </w:r>
      <w:r>
        <w:t>https://mcp.opencaselaw.ch/entscheid/fr_gerichte_605_2023_79</w:t>
      </w:r>
    </w:p>
    <w:p>
      <w:r>
        <w:t>FR: FR_GERICHTE 605 2023 79 du 6 mars 2024</w:t>
      </w:r>
    </w:p>
    <w:p>
      <w:r>
        <w:t>IT: FR_GERICHTE 605 2023 79 del 6 marzo 2024</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compte tenu des féries judiciaires pascales, et dans les formes légales auprès de l'autorité compétente à raison du lieu ainsi que de la matière. La</w:t>
      </w:r>
    </w:p>
    <w:p>
      <w:r>
        <w:t>Tribunal cantonal TC Page 4 de 17 recourante, dûment représentée, est en outre directement atteinte par la décision querellée et a dès lors un intérêt digne de protection à ce qu'elle soit, cas échéant, annulée ou modifiée. Partant, le recours est recevable.</w:t>
      </w:r>
    </w:p>
    <w:p>
      <w:r>
        <w:rPr>
          <w:b/>
        </w:rPr>
        <w:t>E. 2</w:t>
      </w:r>
    </w:p>
    <w:p>
      <w:r>
        <w:t>Notion d’invalidité A teneur de l’art. 8 al. 1 de la loi fédérale du 6 octobre 2000 sur la partie générale du droit des assurances sociales (LPGA; RS 830.1), applicable par le biais de l’art. 1 al. 1 de la loi fédérale du 19 juin 1959 sur l’assurance-invalidité (LAI ; RS 831.29) est réputée invalidité l'incapacité de gain totale ou partielle qui est présumée permanente ou de longue durée. Selon l'art. 4 al. 1 LAI, dite invalidité peut résulter d'une infirmité congénitale, d'une maladie ou d'un accident. Cette incapacité de gain résulte, selon l'art. 7 LPGA, d'une atteinte à la santé physique ou mentale.</w:t>
      </w:r>
    </w:p>
    <w:p>
      <w:r>
        <w:rPr>
          <w:b/>
        </w:rPr>
        <w:t>E. 3</w:t>
      </w:r>
    </w:p>
    <w:p>
      <w:r>
        <w:t>Droit à la rente – droit applicable</w:t>
      </w:r>
    </w:p>
    <w:p>
      <w:r>
        <w:rPr>
          <w:b/>
        </w:rPr>
        <w:t>E. 3.1</w:t>
      </w:r>
    </w:p>
    <w:p>
      <w:r>
        <w:t>Selon l’art. 28 al. 1 aLAI, en vigueur jusqu’au 31 décembre 2021 et applicable à la présente cause pour ce qui concerne la première période durant laquelle le droit à la rente a été reconnu, soit à compter du 1er mai 2019,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 quarts de rente et un taux de 70% au moins donne droit à une rente entière.</w:t>
      </w:r>
    </w:p>
    <w:p>
      <w:r>
        <w:rPr>
          <w:b/>
        </w:rPr>
        <w:t>E. 3.2</w:t>
      </w:r>
    </w:p>
    <w:p>
      <w:r>
        <w:t>A partir du 1er janvier 2022 et de l’entrée en vigueur du nouveau système de rentes linéaires, le nouvel art. 28 b LAI instaure la fixation des rentes à la décimale, au regard du taux d’invalidité. L’alinéa 4 de cette disposition prévoit des rentes progressives lorsque le taux d’invalidité se situe entre 40% et 50%. C’est cette dernière disposition qui a, à juste titre, été appliquée pour la seconde période de reconnaissance du droit à la rente à partir du 1er août 2022.</w:t>
      </w:r>
    </w:p>
    <w:p>
      <w:r>
        <w:rPr>
          <w:b/>
        </w:rPr>
        <w:t>E. 4</w:t>
      </w:r>
    </w:p>
    <w:p>
      <w:r>
        <w:t>Rentes échelonnées</w:t>
      </w:r>
    </w:p>
    <w:p>
      <w:r>
        <w:rPr>
          <w:b/>
        </w:rPr>
        <w:t>E. 4.1</w:t>
      </w:r>
    </w:p>
    <w:p>
      <w:r>
        <w:t>Selon l'art. 17 LPGA, la rente d’invalidité est, d’office ou sur demande, révisée pour l’avenir, à savoir augmentée, réduite ou supprimée, lorsque le taux d’invalidité de l’assuré subit une modification d’au moins 5 points de pourcentage ou atteint 100 %.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w:t>
      </w:r>
    </w:p>
    <w:p>
      <w:r>
        <w:t>Tribunal cantonal TC Page 5 de 17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rPr>
          <w:b/>
        </w:rPr>
        <w:t>E. 4.2</w:t>
      </w:r>
    </w:p>
    <w:p>
      <w:r>
        <w:t>L'art. 88a al. 2 du règlement du 17 janvier 1961 sur l’assurance-invalidité (RAI ; RS 831.201)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p. 417). Cette disposition ne s'applique pas tant qu'un droit à la rente n'est pas ouvert au regard des conditions de l'art. 28 al. 1 let. b LAI (cf. arrêt TF I 179/01 du 10 décembre 2001 consid. 3b; MEYER/REICHMUTH, Bundesgesetz über die Invalidenversicherung [IVG], 3e éd. 2014, n. 35 ad art. 28).</w:t>
      </w:r>
    </w:p>
    <w:p>
      <w:r>
        <w:rPr>
          <w:b/>
        </w:rPr>
        <w:t>E. 5</w:t>
      </w:r>
    </w:p>
    <w:p>
      <w:r>
        <w:t>Méthodes d’évaluation du taux d’invalidité L’évaluation du taux d’invalidité se fait sur la base de plusieurs méthodes dont l’application dépend du statut du bénéficiaire potentiel de la rente.</w:t>
      </w:r>
    </w:p>
    <w:p>
      <w:r>
        <w:rPr>
          <w:b/>
        </w:rPr>
        <w:t>E. 5.1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5.1.1</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L’art. 26 al. 1 RAI prescrit que le revenu sans invalidité est déterminé en fonction du dernier revenu de l’activité lucrative effectivement réalisé avant la survenance de l’invalidité. Si le revenu réalisé au</w:t>
      </w:r>
    </w:p>
    <w:p>
      <w:r>
        <w:t>Tribunal cantonal TC Page 6 de 17 cours des dernières années précédant la survenance de l’invalidité a subi de fortes variations, il convient de se baser sur un revenu moyen équitable. Cependant, selon l’art. 26 al. 2 RAI, si le revenu effectivement réalisé est inférieur d’au moins 5 % aux valeurs médianes usuelles dans la branche selon l’ESS au sens de l’art. 25, al. 3, le revenu sans invalidité correspond à 95 % de ces valeurs médianes. Enfin,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(art. 26 al. 4 RAI).</w:t>
      </w:r>
    </w:p>
    <w:p>
      <w:r>
        <w:rPr>
          <w:b/>
        </w:rPr>
        <w:t>E. 5.1.2</w:t>
      </w:r>
    </w:p>
    <w:p>
      <w:r>
        <w:t>Selon l’art. 26bis al. 1 RAI, si l’assuré réalise un revenu après la survenance de l’invalidité, le revenu avec invalidité correspond à ce revenu, à condition que l’assuré exploite autant que possible sa capacité fonctionnelle résiduelle en exerçant une activité qui peut raisonnablement être exigée de lui. L’al. 2 1ère phr. de cette même disposition retient que si l’assuré ne réalise pas de revenu déterminant, le revenu avec invalidité est déterminé en fonction des valeurs statistiques visées à l’art. 25, al. 3.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w:t>
      </w:r>
    </w:p>
    <w:p>
      <w:r>
        <w:rPr>
          <w:b/>
        </w:rPr>
        <w:t>E. 5.2</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w:t>
      </w:r>
    </w:p>
    <w:p>
      <w:r>
        <w:rPr>
          <w:b/>
        </w:rPr>
        <w:t>E. 5.2.1</w:t>
      </w:r>
    </w:p>
    <w:p>
      <w:r>
        <w:t>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(arrêts TF 9C_22/2010 du 2 juin 2010 consid. 4 et I 288/06 du 20 avril 2007 consid. 3.2.3).</w:t>
      </w:r>
    </w:p>
    <w:p>
      <w:r>
        <w:rPr>
          <w:b/>
        </w:rPr>
        <w:t>E. 5.2.2</w:t>
      </w:r>
    </w:p>
    <w:p>
      <w:r>
        <w:t>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w:t>
      </w:r>
    </w:p>
    <w:p>
      <w:r>
        <w:t>Tribunal cantonal TC Page 7 de 17 De jurisprudence constante, la personne assurée est notamment tenue d’adopter une méthode de travail adéquate, de répartir son travail en conséquence et de demander l’aide de ses proches dans une mesure convenable (cf. not. ATF 133 V 504 consid. 4.2).</w:t>
      </w:r>
    </w:p>
    <w:p>
      <w:r>
        <w:rPr>
          <w:b/>
        </w:rPr>
        <w:t>E. 5.3</w:t>
      </w:r>
    </w:p>
    <w:p>
      <w:r>
        <w:t>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w:t>
      </w:r>
    </w:p>
    <w:p>
      <w:r>
        <w:rPr>
          <w:b/>
        </w:rPr>
        <w:t>E. 6</w:t>
      </w:r>
    </w:p>
    <w:p>
      <w:r>
        <w:t>Choix de la méthode d’évaluation Lors de l'examen initial du droit à la rente, il convient d'examiner quelle méthode d'évaluation de l'invalidité il s'agit d'appliquer. Le choix de l'une des trois méthodes reconnues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7</w:t>
      </w:r>
    </w:p>
    <w:p>
      <w:r>
        <w:t>Dispositions applicables en matière de preuve Dans le droit des assurances sociales, la règle du degré de vraisemblance prépondérante est généralement appliquée.</w:t>
      </w:r>
    </w:p>
    <w:p>
      <w:r>
        <w:t>Tribunal cantonal TC Page 8 de 17</w:t>
      </w:r>
    </w:p>
    <w:p>
      <w:r>
        <w:rPr>
          <w:b/>
        </w:rPr>
        <w:t>E. 7.1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La jurisprudence dite des « premières déclarations ou des déclarations de la première heure »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7.2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7.3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7.4</w:t>
      </w:r>
    </w:p>
    <w:p>
      <w:r>
        <w:t>L’art. 69 al. 2 RAI prévoit, comme mesure d’instruction, la possibilité pour l’autorité de réaliser une visite domiciliaire. Telle est la possibilité, notamment, lorsqu’il s’agit d’assurés qui s’occupent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w:t>
      </w:r>
    </w:p>
    <w:p>
      <w:r>
        <w:t>Tribunal cantonal TC Page 9 de 17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rPr>
          <w:b/>
        </w:rPr>
        <w:t>E. 8</w:t>
      </w:r>
    </w:p>
    <w:p>
      <w:r>
        <w:t>Objet du litige - méthode applicable Sont en l’espèce litigieux l’octroi et la fixation de la rente à partir du 1er mai 2019, la recourante soutenant avoir droit à une rente entière et non à une seule rente échelonnée fondée sur des taux d’invalidité qu’elle estime au demeurant trop bas. Cette rente échelonnée porte sur trois périodes distinctes, comme on le verra plus en détail. D’emblée, la Cour constate que l’usage de la méthode mixte ainsi que le partage des occupations (39% consacrés à l’activité lucrative et 61% à la tenue du ménage) n’est en revanche et à juste titre pas contesté. Qu’en est-il ?</w:t>
      </w:r>
    </w:p>
    <w:p>
      <w:r>
        <w:rPr>
          <w:b/>
        </w:rPr>
        <w:t>E. 9</w:t>
      </w:r>
    </w:p>
    <w:p>
      <w:r>
        <w:t>Sur le plan de l’activité lucrative (ratio de 39%)</w:t>
      </w:r>
    </w:p>
    <w:p>
      <w:r>
        <w:rPr>
          <w:b/>
        </w:rPr>
        <w:t>E. 9.1</w:t>
      </w:r>
    </w:p>
    <w:p>
      <w:r>
        <w:t>L’OAI se fonde d’abord sur les conclusions des Drs C.________ et D.________ pour retenir que l’assurée était en incapacité de travail totale du 1er mars 2018 au 31 août 2019, puis à 50% à partir du 1er septembre 2019. Dans leur rapport d’expertise du 28 juillet 2021 et leur complément du 24 mai 2022 (dossier OAI, p. 286 et 446), les Drs C.________ et D.________ constatent que l’assurée est soumise à un suivi médical stressant depuis l’enfance, en particulier un strabisme divergent en 1982, une amblyopie en 2007 et en 2008, une dégénérescence maculaire depuis 2013 et une néo-vascularisation en 2019. Cependant, ils ne retrouvent pas ces différents troubles lors de leurs examens et relèvent une acuité visuelle avec correction de 10/10 au jour de l’expertise. Ils en concluent que les troubles ophtalomologiques n’ont pas d’impact sur la capacité de travail de l’assurée. En revanche, sur le</w:t>
      </w:r>
    </w:p>
    <w:p>
      <w:r>
        <w:t>Tribunal cantonal TC Page 10 de 17 plan psychiatrique, ils soulignent que l’assurée a souffert d’une décompensation anxio-dépressive sévère entre mars 2018 et août 2019, laquelle a entrainé de nombreuses hospitalisations et un traitement lourd. Ils constatent, en outre, que l’assurée présente, parallèlement, des traits de personnalité anxieuse. En raison de ces atteintes et de la situation anxiogène sur le plan ophtalmologique qui s’y ajoute, ils retiennent une incapacité de travail totale de mars 2018 à août 2019. Se basant sur le traitement alors ordonné, ils relèvent une amélioration de la situation et concluent à la rémission partielle de cette situation, prévoyant une reprise possible du travail dans un délai de six mois. Ils en déduisent une capacité de travail de 50% depuis septembre 2019 et prédisent une pleine capacité de travail dans un délai de six mois, sauf rechute ou complication. Ces raisonnements et conclusions sont basés tant sur l’étude du dossier d’assurance que sur la teneur d’un entretien que les experts ont chacun eu avec l’assurée et à l’occasion duquel ils ont pu procéder à un examen clinique complet. Pour ces motifs, les experts avaient une pleine connaissance de la situation non seulement médicale, mais également privée, professionnelle, économique, sociale et familiale de la recourante. Lors de l’entretien, chaque expert a pu procéder à un examen complet de l’assurée. Pour sa part, à cette occasion ainsi que dans un courrier adressé aux experts, cette dernière a pu détailler ses troubles, sa situation et son quotidien. S’agissant du reproche quant à la durée insuffisante des entretiens, on rappellera qu’il ne s’agit pas d’un critère reconnu par la jurisprudence comme ayant une influence déterminante sur la qualité et la valeur probante d'un rapport d'expertise. En outre, il est pris note des reproches selon lesquels il y aurait des imprécisions en lien avec la description des traitements médicaux (psychiatrie, psychologie, musicologie, ostéopathie et massage). Cependant, la recourante ne démontre pas en quoi ces éventuelles imprécisions auraient influencé, à son désavantage, l’évaluation de sa situation. Au contraire, à lire les différents rapports, on constate que tant le rapport d’expertise que le rapport complémentaire apparaissent bien motivés et exempts de contradictions. Aucun indice concret ne permet de mettre en cause leur bien fondé. Force est de constater que les différents rapports d’expertise doivent se voir reconnaître une pleine valeur probante.</w:t>
      </w:r>
    </w:p>
    <w:p>
      <w:r>
        <w:rPr>
          <w:b/>
        </w:rPr>
        <w:t>E. 9.2</w:t>
      </w:r>
    </w:p>
    <w:p>
      <w:r>
        <w:t>Sur le plan ophtalmologique, il sied de relever que la pleine capacité de travail reconnue par les experts n’apparaît pas contestable, à tout le moins à partir du mois d’août 2019. En effet, en mars 2019, le Dr F.________, spécialiste en ophtalmologie, retenait les diagnostics de « myopie forte », de « dégénérescence maculaire myopique » et d’« aggravation de la dégénérescence maculaire » depuis 2013. Il faisait état des difficultés de sa patiente dans l’enseignement de la musique en raison des métamorphopsies liées aux problèmes maculaires, retenant une capacité de travail de 20% dans cette activité. Il considérait un changement vers une autre activité comme envisageable sans, pour autant, quantifier la capacité de travail dans une nouvelle activité (rapport du 28 mars 2019, dossier OAI, p. 88). Dans un rapport ultérieur du 4 février 2020, ce médecin ne fait toutefois plus état de problèmes maculaires et souligne l’absence d’incidence des troubles ophtalmiques sur la capacité de travail (dossier OAI, p. 144). Tel est également l’opinion du Dr G.________, spécialiste en ophtalmologie, lequel précise certes que l’élargissement progressif des taches aveugles empêche l’assurée de voir les touches du clavier (dossier OAI, p. 239). Néanmoins, il atteste que l’activité de professeure de piano exercée par l’assurée est pleinement exigible, sans perte de rendement (dossier OAI, p. 235). Il relève, dans le même temps, qu’il n’a pas de doute sur la capacité de sa patiente à conduire</w:t>
      </w:r>
    </w:p>
    <w:p>
      <w:r>
        <w:t>Tribunal cantonal TC Page 11 de 17 (dossier OAI, p. 239). Dans un rapport du 11 mai 2021, la Dre H.________, spécialiste en ophtalmologie, soulignait par ailleurs que sa patiente affirmait une péjoration de son état sans, pour sa part, arriver à objectiver un changement du statut visuel (dossier OAI, p. 379). Dans ce contexte, les conclusions des experts qui retiennent une pleine capacité de travail sur le plan ophtalmologique n’apparaissent pas devoir être mises en cause.</w:t>
      </w:r>
    </w:p>
    <w:p>
      <w:r>
        <w:rPr>
          <w:b/>
        </w:rPr>
        <w:t>E. 9.3</w:t>
      </w:r>
    </w:p>
    <w:p>
      <w:r>
        <w:t>Sur le plan psychique, la présence d’une pleine incapacité de travail jusqu’en août 2019 n’est pas contestée. Ainsi, les médecins de E.________ retenaient le diagnostic de trouble dépressif récurrent, épisode actuel sévère sans symptômes psychotiques (F33.2) ainsi que de trouble mixte de la personnalité. Selon eux, l’incapacité de travail de leur patiente était totale évoquant plusieurs tentamens, dont le dernier en juillet 2019 (rapports des 18 mars et 29 octobre 2019 ; dossier OAI, p. 85 et 128 ; cf. ég. p. 99, 110, 114, 118, 215 et 219). A la même époque, le Dr I.________, spécialiste en médecine interne générale au sein de J.________, relevait une amélioration de la symptomatologie dépressive et de la tolérance à la pression dans un rapport du 6 juin 2019 (dossier OAI, p. 112 ; p. 115). En revanche, l’appréciation des médecins traitants s’écarte de celle des experts s’agissant de la période postérieure au 1er septembre 2019, laquelle ne fait plus l’objet d’un suivi par les spécialistes de E.________, celui-ci ayant été repris par le Dr K.________, spécialiste en psychiatrie et psychothérapie. En effet, alors que les experts constatent une amélioration de la situation en août 2019, le psychiatre traitant atteste en continu d’une incapacité de travail totale. Ce médecin, qui retient les mêmes diagnostics que les médecins de E.________, souligne que sa patiente a développé un trouble dépressif sévère et un trouble anxieux subclinique dans un contexte psychosocial stressant concomitant avec l‘avènement des troubles oculaires sérieux et irréversibles. Selon lui, les troubles de la vision et la fragilité émotionnelle qui en découlent conduisent sa patiente à souffrir notamment d’attaques de panique récurrentes (palpitations cardiaques, crispations, sentiment d’oppression), d’une perte de son élan de vie et l’amènent à penser à l’irrémédiable. Bien que relevant l’évolution positive du trouble dépressif, il en conclu dès lors que la capacité de travail de sa patiente demeure nulle (rapports du 7 mai 2020 et du 22 janvier 2022, dossier OAI, p. 181 et 430 ; cf. ég. P. 125, 171, 189 et 203). D’emblée, l’on doit constater que l’écriture des différents rapports signés par le Dr K.________ confirme que ceux-ci semblent plutôt avoir été rédigés par deux psychologues déléguées, L.________ et M.________, lesquelles ne disposent pas du titre de médecin. Dans ce contexte, la question de la valeur probante de ces différents rapports médicaux se pose. Cela étant, ces différents rapports ne permettent pas d’apprécier la situation de l’assurée en application des indicateurs reconnus par la jurisprudence. Dans son évaluation, le psychiatre tend ainsi à prendre en considération des éléments qui sortent de sa sphère de spécialisation, en particulier les troubles ophtalmologiques ainsi que des facteurs extra-médicaux. Les premiers ne justifient désormais plus d’incapacité de travail aux yeux des spécialistes en la matière de sorte que leur prise en compte doit être écartée. Pour leur part, les seconds – notamment un épuisement professionnel, une restructuration à son lieu de travail, un déménagement et un échec de procréation médicalement assistée – sont, au sens de la jurisprudence, des facteurs d’exclusion qui ne permettent pas d’admettre une atteinte à la santé.</w:t>
      </w:r>
    </w:p>
    <w:p>
      <w:r>
        <w:t>Tribunal cantonal TC Page 12 de 17 Quoi qu’il en soit,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Le dernier rapport du Dr K.________ produit en procédure de recours ne permet pas une autre appréciation de la situation, étant précisé que le médecin renvoie à ses précédentes appréciations, en particulier son rapport du 22 janvier 2022. Compte tenu de ce qui précède, c’est à juste titre que l’OAI a estimé que la capacité de travail de l’assurée était nulle du 1er mars 2018 au 31 août 2019, puis de 50% à partir du 1er septembre 2019.</w:t>
      </w:r>
    </w:p>
    <w:p>
      <w:r>
        <w:rPr>
          <w:b/>
        </w:rPr>
        <w:t>E. 9.4</w:t>
      </w:r>
    </w:p>
    <w:p>
      <w:r>
        <w:t>Reste à examiner sur quelle base l’OAI a estimé que l’état de santé de la recourante s’était par la suite à nouveau aggravé en juin 2022. Dans leur rapport du 18 octobre 2022, les spécialistes de E.________ font état du nouveau diagnostic de « Trouble affectif bipolaire, épisode actuel maniaque sans symptômes psychotiques » (F31.1). Ils précisent que l’assurée leur a été adressée en raison d’une décompensation maniaque survenue durant les vacances en Grèce de l’assurée. Ces médecins soulignent que, si la patiente a possiblement présenté un virage maniaque au début du mois de juin, celui-ci a pu être géré en ambulatoire. Ils attestent d’une incapacité de travail totale depuis août 2022 (dossier OAI, p. 474). Pour cette période, l’OAI a soumis le dossier au Dr N.________, spécialiste psychiatrie et psychothérapie au sein de son SMR. Dans un rapport du 1er mars 2023, ce médecin a estimé que le diagnostic de trouble affectif bipolaire était confirmé par le tableau clinique. Néanmoins, il ne justifiait pas d’emblée une incapacité de travail totale et durable. Selon lui, tout au plus cela mettait-il en cause les prévisions des experts, selon lesquelles l’assurée aurait été en mesure de reprendre pleinement une activité lucrative après six mois au vu de son équilibre psychique fragile. Il en conclut que la capacité de travail était demeurée à 50% jusqu’en mai 2022. Par la suite, l’incapacité de travail était entière depuis juin 2022, liée à l’apparition de symptômes maniaques. Selon lui, la capacité de travail résiduelle ne pourra être évaluée que lorsque l’état de santé sera stabilisé (dossier OAI, p. 495). Cette appréciation, cohérente avec celle des médecins de E.________, ne semble pas devoir être remise en cause.</w:t>
      </w:r>
    </w:p>
    <w:p>
      <w:r>
        <w:rPr>
          <w:b/>
        </w:rPr>
        <w:t>E. 9.5</w:t>
      </w:r>
    </w:p>
    <w:p>
      <w:r>
        <w:t>Il ressort de l’ensemble de ce qui précède que l’assurée présentait une incapacité de travail de 100% du 1er mars 2018 au 31 août 2019. Puis de 50% à partir du 1er septembre 2019, date à laquelle son état de santé s’est en partie amélioré. Une nouvelle incapacité totale de travail devant être retenue depuis le mois de juin 2022. En cela, les raisonnements de l’OAI peuvent donc être suivis. Etant relevé que les revenus avec invalidité et sans invalidité ne sont pas remis en cause par l’assurée et n’apparaissent pas devoir l’être, la Cour peut se rattacher aux degrés d’invalidité retenus dans la décision en cause, à savoir 100% du 1er mai 2019 (6 mois après la demande déposée le</w:t>
      </w:r>
    </w:p>
    <w:p>
      <w:r>
        <w:rPr>
          <w:b/>
        </w:rPr>
        <w:t>E. 12</w:t>
      </w:r>
    </w:p>
    <w:p>
      <w:r>
        <w:t>Frais et indemnité de partie</w:t>
      </w:r>
    </w:p>
    <w:p>
      <w:r>
        <w:rPr>
          <w:b/>
        </w:rPr>
        <w:t>E. 12.1</w:t>
      </w:r>
    </w:p>
    <w:p>
      <w:r>
        <w:t>La procédure n'étant pas gratuite (cf. art. 69 al. 1bis LAI), les frais de justice sont fixés à CHF 800.-. Compte tenu de l’admission partielle du recours, ils sont répartis par moitié à raison de CHF 400.- à la charge de l'autorité intimée et CHF 400.- à la charge de la recourante.</w:t>
      </w:r>
    </w:p>
    <w:p>
      <w:r>
        <w:t>Tribunal cantonal TC Page 16 de 17</w:t>
      </w:r>
    </w:p>
    <w:p>
      <w:r>
        <w:rPr>
          <w:b/>
        </w:rPr>
        <w:t>E. 12.2</w:t>
      </w:r>
    </w:p>
    <w:p>
      <w:r>
        <w:t>Dans la mesure où elle obtient partiellement gain de cause, la recourante a droit à une indemnité de partie pour ses frais de défense. Le 4 octobre 2023, son mandataire a transmis deux listes de frais. La première, relative à la période du 9 mai 2023 au 16 mai 2023, est d’un montant de CHF 2'904.-, à savoir CHF 2'568.- au titre d’honoraires (10:42 heures à CHF 240.-), CHF 128.40 au titre de frais forfaitaires (5%) et CHF 207.60 au titre de la TVA (7.7%). La seconde, relative à la période du 25 mai 2023 au 4 octobre 2023, est d’un montant total de CHF 1'059.75 correspondant à CHF 984.- au titre d’honoraires (4:06 heures à CHF 240.-) et CHF 75.75 au titre de la TVA (7.7%). Cela correspond à un montant total de CHF 3'963.75, dont CHF 283.35 au titre de la TVA (7.7%). Toutefois, la liste de frais produite n'apparaît pas conforme aux exigences du tarif cantonal du</w:t>
      </w:r>
    </w:p>
    <w:p>
      <w:r>
        <w:rPr>
          <w:b/>
        </w:rPr>
        <w:t>E. 17</w:t>
      </w:r>
    </w:p>
    <w:p>
      <w:r>
        <w:t>décembre 1991 des frais de procédure et des indemnités en matière de juridiction administrative (Tarif JA, RSF 150.12). En effet, les frais sont calculés de manière forfaitaire alors que cette méthode n'est pas prévue en matière d’assurances sociales (cf. arrêt TC 605 2016 93 du 7 mars 2017; cf. ég. art. 11 al. 2 Tarif JA; art. 68 du Règlement sur la Justice; RJ; RSF 130.11). En outre, il convient de relever que la fixation des honoraires dus à titre de dépens a lieu sur la base d'un tarif horaire de CHF 250.- (art. 8 al. 1 Tarif JA). Enfin, en l’occurrence, au vu de la nature, de l’importance et de la difficulté de la cause, l’ampleur du travail alléguée par le mandataire apparaît disproportionnée. On relèvera, en particulier, que l’avocate n'a pas été confrontée à des questions de fait ou de droit inhabituelles ou exceptionnellement ardues. Dans ces circonstances, la Cour s'écarte des opérations qui figurent dans les listes de frais produites et fixe l'indemnité d’office, selon sa libre appréciation (cf. art. 11 Tarif JA). Compte tenu de l'importance et de la difficulté de l'affaire (art. 11 al. 2 Tarif JA), l'indemnité de partie est fixée ex aequo et bono à un montant total de CHF 2’746.35, à savoir à CHF 2'500.- au titre d'honoraires (10 heures à CHF 250.-), CHF 50.- au titre de frais et CHF 196.- au titre de la TVA (7,7%). Cette indemnité de partie doit être réduite (1/2) compte tenu de l'admission partielle du recours et fixée à CHF 1’275.-, dont CHF 98.15 au titre de la TVA. Ce montant est mis à la charge de l'autorité intimée qui succombe. (dispositif page suivante)</w:t>
      </w:r>
    </w:p>
    <w:p>
      <w:r>
        <w:t>Tribunal cantonal TC Page 17 de 17 la Cour arrête : I. Le recours est partiellement admis. La cause est renvoyée à l’OAI pour instruction complémentaire sur l’évaluation des empêchements dans la tenue du ménage, au sens des considérants, durant la première période du 1er mai 2019 au 31 août 2019, puis, plus tard, durant la dernière période courant à partir du 1er août 2022. Pour le surplus, la décision est confirmée. II. L'indemnité de partie allouée à la recourante pour ses frais de défense est fixée à CHF 1’275.-, dont CHF 98.15 au titre de la TVA, et mise à la charge de l'autorité intimée. III. Des frais de justice de CHF 800.- sont mis à raison de CHF 400.- à la charge de l'office de l'assurance-invalidité du canton de Fribourg, et de CHF 400.- à la charge de la recourante.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2024/pte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