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74 vom 11. Januar 2024</w:t>
      </w:r>
    </w:p>
    <w:p>
      <w:r>
        <w:t>FR Kantonsgericht, 2024-01-11, FR</w:t>
      </w:r>
    </w:p>
    <w:p>
      <w:r>
        <w:rPr>
          <w:b/>
        </w:rPr>
        <w:t xml:space="preserve">Quelle: </w:t>
      </w:r>
      <w:r>
        <w:t>https://mcp.opencaselaw.ch/entscheid/fr_gerichte_605_2023_74</w:t>
      </w:r>
    </w:p>
    <w:p>
      <w:r>
        <w:t>FR: FR_GERICHTE 605 2023 74 du 11 janvier 2024</w:t>
      </w:r>
    </w:p>
    <w:p>
      <w:r>
        <w:t>IT: FR_GERICHTE 605 2023 74 del 11 gennaio 2024</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 compte tenu des féries pascales - et dans les formes légales auprès de l’autorité judiciaire compétente par une assurée directement touchée par la décision attaquée et dûment représentée, le recours est recevable.</w:t>
      </w:r>
    </w:p>
    <w:p>
      <w:r>
        <w:rPr>
          <w:b/>
        </w:rPr>
        <w:t>E. 2</w:t>
      </w:r>
    </w:p>
    <w:p>
      <w:r>
        <w:t>Droit applicable Dans le cadre du développement continu de l'AI, la loi du 19 juin 1959 sur l'assurance-invalidité (LAI; RS 831.20), le règlement du 17 janvier 1961 sur l’assurance-invalidité (RAI; RS 831.201) et la loi du</w:t>
      </w:r>
    </w:p>
    <w:p>
      <w:r>
        <w:rPr>
          <w:b/>
        </w:rPr>
        <w:t>E. 2.1</w:t>
      </w:r>
    </w:p>
    <w:p>
      <w:r>
        <w:t>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w:t>
      </w:r>
    </w:p>
    <w:p>
      <w:r>
        <w:rPr>
          <w:b/>
        </w:rPr>
        <w:t>E. 2.2</w:t>
      </w:r>
    </w:p>
    <w:p>
      <w:r>
        <w:t>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linéaires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w:t>
      </w:r>
    </w:p>
    <w:p>
      <w:r>
        <w:t>Tribunal cantonal TC Page 4 de 15 Compte tenu de ce qui précède, les nouvelles dispositions légales introduites dans le cadre du développement continu de l'AI entrées en vigueur le 1er janvier 2022 ne sont ici pas applicables, la nouvelle demande de rente ayant été déposée le 31 janvier 2021, le droit à la rente débutant, le cas échéant, sous l'empire de l'ancien droit. 3. Invalidité – notion d'atteinte invalidante A teneur de l’art. 8 al. 1 LPGA, applicable par le biais de l'art. 1 al. 1 LAI, est réputée invalidité l'incapacité de gain totale ou partielle qui est présumée permanente ou de longue durée. 3.1. Cette incapacité de gain résulte, selon l'art. 7 LPGA, d'une atteinte à la santé physique, mentale ou psychique. 3.2. En vertu de l'art. 7 al. 2 LPGA, les facteurs extra-médicaux (p.ex. des facteurs psychosociaux et socioculturels) ne constituent en revanche pas des atteintes à la santé entraînant une incapacité de gain. Pour qu'une invalidité soit reconnue, il est nécessaire qu'un substrat médical pertinent entrave la capacité de travail (et de gain) de manière importante et soit à chaque fois mis en évidence par un médecin spécialisé. Plus les facteurs extra-médicaux apparaissent au premier plan et imprègnent l'anamnèse, plus le diagnostic médical doit préciser si l'atteinte à la santé équivaut à une maladie. Il ne suffit donc pas que le tableau clinique soit constitué d'atteintes relevant de facteurs socioculturels ; il faut au contraire que celui-ci comporte d'autres éléments pertinents, par exemple au plan psychiatrique, tels qu'une dépression durable au sens médical ou un état psychique assimilable et non une simple humeur dépressive (comme, par exemple, une « dysthymie », ATF 143 V 418 consid. 8.1 et références). En définitive, une atteinte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 arrêt TF I 797/06 du 21 août 2007 consid. 4). 3.3. Ce n'est, cela étant, pas l'atteinte à la santé en soi qui est assurée, ce sont bien plutôt les conséquences économiques de celle-ci, c'est-à-dire une incapacité de gain qui sera probablement permanente ou du moins de longue durée (ATF 127 V 294). 4. Atteinte à la santé psychique 4.1.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w:t>
      </w:r>
    </w:p>
    <w:p>
      <w:r>
        <w:t>Tribunal cantonal TC Page 5 de 15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4.2.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5. Droit à la rente – calcul du taux – obligation de réduire le dommage Selon l’art. 28 al. 1 LAI, l’assuré a droit à une rente lorsque sa capacité de gain ou sa capacité d’accomplir ses travaux habituels ne peut pas être rétablie, maintenue ou améliorée par des mesures de réadaptation raisonnablement exigibles (let. a), qu’il a présenté une incapacité de travail (art. 6 LPGA) d’au moins 40% en moyenne durant une année sans interruption notable (let. b) et qu’au terme de cette année, il est invalide (art. 8 LPGA) à 40% au moins (let. c). L’al. 2 prévoit que la rente est échelonnée selon le taux d’invalidité : un taux d’invalidité de 40% au moins donne droit à un quart de rente, un taux de 50% au moins donne droit à une demi-rente, un taux de 60% au moins donne droit à trois-quarts de rente et un taux de 70% au moins donne droit à une rente entière. 5.1. Selon l’art. 28a al. 1 LAI, l’art. 16 LPGA s’applique à l’évaluation du taux d'’invalidité des assurés exerçant une activité lucrative. Ce dernier article indique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 revenu déterminant pour l’évaluation de l’invalidité (art. 28a al. 1 2e phr.). Pour la comparaison des revenus, l'on ne saurait se fonder simplement sur le travail que l'assuré a effectivement fourni après la survenance de l’invalidité et sur le gain qu'il a ainsi réalisé. Le critère</w:t>
      </w:r>
    </w:p>
    <w:p>
      <w:r>
        <w:t>Tribunal cantonal TC Page 6 de 15 décisif est de savoir quel est le gain que l'assuré est capable de réaliser en faisant les efforts exigibles (RAMA 1993 n° U 168 p. 97 consid. 3b). 5.2.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Ainsi doit-on pouvoir exiger de celui qui requiert des prestations qu'il prenne toutes les mesures qu'une personne raisonnable prendrait dans la même situation si elle ne pouvait attendre aucune indemnisation de tiers. Demeurent réservés les cas où les dispositions prises par l'assuré doivent être considérées au regard des circonstances concrètes, comme étant tout simplement déraisonnables ou abusives (arrêt TF 9C_578/2009 du 29 décembre 2009 consid. 4.2.3; ATF 113 V 22 consid. 4d; HÜRZELER, Prävention im Haftpflicht- und sozialversicherungsrecht, in Prävention im Recht, 2007, p. 172 ss).</w:t>
      </w:r>
    </w:p>
    <w:p>
      <w:r>
        <w:rPr>
          <w:b/>
        </w:rPr>
        <w:t>E. 6</w:t>
      </w:r>
    </w:p>
    <w:p>
      <w:r>
        <w:t>Dispositions applicables en cas de nouvelle demande Selon l’art. 87 al. 3 RAI, lorsque la rente a été refusée parce que le degré d’invalidité était insuffisant,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Ceci étant précisé, lorsque l’assurance est entrée en matière sur la nouvelle demande, l’examen du droit à la rente par l’autorité judiciaire ne se fera plus sous l’angle de la plausibilité, mais dans le cadre d’un examen complet du dossier et les allégués des parties seront examinés conformément aux dispositions relatives à l’appréciation des preuves en matière du droit des assurances sociales, à savoir sous l’angle de la vraisemblance prépondérante.</w:t>
      </w:r>
    </w:p>
    <w:p>
      <w:r>
        <w:rPr>
          <w:b/>
        </w:rPr>
        <w:t>E. 6.1</w:t>
      </w:r>
    </w:p>
    <w:p>
      <w:r>
        <w:t>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w:t>
      </w:r>
    </w:p>
    <w:p>
      <w:r>
        <w:rPr>
          <w:b/>
        </w:rPr>
        <w:t>E. 6.2</w:t>
      </w:r>
    </w:p>
    <w:p>
      <w:r>
        <w:t>Tout changement important de circonstances, propres à influencer le degré d’invalidité, et donc le droit à une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130 V 349 consid. 3.5 ; 126 V 75 ; VSI 2000 p. 314 consid. 1b). Une simple appréciation différente d’un état de fait, qui, pour l’essentiel, est demeuré inchangé, n’appelle en revanche pas à une révision au sens de l’art. 17 LPGA (ATF 112 V 371 consid. 2b et 387 consid. 1b ; arrêt TF I 532/05 du 13 juillet 2006 consid. 3 ; arrêt TAF C- 2882/2006 du 14 octobre 2009 consid. 6.3).</w:t>
      </w:r>
    </w:p>
    <w:p>
      <w:r>
        <w:t>Tribunal cantonal TC Page 7 de 15</w:t>
      </w:r>
    </w:p>
    <w:p>
      <w:r>
        <w:rPr>
          <w:b/>
        </w:rPr>
        <w:t>E. 6.3</w:t>
      </w:r>
    </w:p>
    <w:p>
      <w:r>
        <w:t>Pour l’examen d’une modification du degré d’invalidité lors d’une révision de la rente (sur demande ou d’office), constitue le point de départ temporel pour l’examen du degré d’invalidité la dernière décision entrée en force et qui repose sur un examen matériel du droit à la rente avec une constatation des faits pertinents, une appréciation des preuves et une comparaison des revenus conformes au droit (ATF 133 V 108 consid. 5).</w:t>
      </w:r>
    </w:p>
    <w:p>
      <w:r>
        <w:rPr>
          <w:b/>
        </w:rPr>
        <w:t>E. 7</w:t>
      </w:r>
    </w:p>
    <w:p>
      <w:r>
        <w:t>Appréciation des preuves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7.1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7.2</w:t>
      </w:r>
    </w:p>
    <w:p>
      <w:r>
        <w:t>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Enfin, l’on ne saurait remettre en cause une expertise ordonnée par l’administration ou un juge et procéder à de nouvelles investigations du seul fait qu’un ou plusieurs médecins traitants ont une opinion contradictoire (arrêt TF 9C_201/2007 du 29 janvier 2008).</w:t>
      </w:r>
    </w:p>
    <w:p>
      <w:r>
        <w:t>Tribunal cantonal TC Page 8 de 15</w:t>
      </w:r>
    </w:p>
    <w:p>
      <w:r>
        <w:rPr>
          <w:b/>
        </w:rPr>
        <w:t>E. 7.3</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8</w:t>
      </w:r>
    </w:p>
    <w:p>
      <w:r>
        <w:t>Instruction des demandes Dans le domaine des assurances sociales, la procédure est régie par le principe inquisitoire, selon lequel les faits pertinents de la cause doivent être constatés d'office par l'assureur.</w:t>
      </w:r>
    </w:p>
    <w:p>
      <w:r>
        <w:rPr>
          <w:b/>
        </w:rPr>
        <w:t>E. 8.1</w:t>
      </w:r>
    </w:p>
    <w:p>
      <w:r>
        <w:t>Selon l'art. 43 LPGA, l'assureur examine les demandes, prend d'office les mesures d'instruction nécessaires et recueille les renseignements dont il a besoin (al. 1). L'assuré doit se soumettre à des examens médicaux ou techniques si ceux-ci sont nécessaires à l'appréciation du cas et qu'ils peuvent être raisonnablement exigés (al. 2). En matière d'assurance-invalidité (cf. ATF 132 V 93 consid. 4), l'art. 69 al. 2 RAI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Conformément à l'art. 44 LPGA, si l'assureur doit recourir aux services d'un expert indépendant pour élucider les faits, il donne connaissance du nom de celui-ci aux parties. Celles-ci peuvent récuser l'expert pour des raisons pertinentes et présenter des contre-propositions.</w:t>
      </w:r>
    </w:p>
    <w:p>
      <w:r>
        <w:rPr>
          <w:b/>
        </w:rPr>
        <w:t>E. 8.2</w:t>
      </w:r>
    </w:p>
    <w:p>
      <w:r>
        <w:t>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en outre pas absolu dans la mesure où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w:t>
      </w:r>
    </w:p>
    <w:p>
      <w:r>
        <w:rPr>
          <w:b/>
        </w:rPr>
        <w:t>E. 9</w:t>
      </w:r>
    </w:p>
    <w:p>
      <w:r>
        <w:t>Objet du litige – historique des demandes de rente Est en l’espèce litigieux, dans le cadre d'une nouvelle demande, le droit à la rente de la recourante. Cette dernière conteste en particulier la valeur probante de l'expertise bidisciplinaire, laquelle aurait été effectuée sans disposer de tous les certificats médicaux pertinents. De surcroît, l'expertise serait</w:t>
      </w:r>
    </w:p>
    <w:p>
      <w:r>
        <w:t>Tribunal cantonal TC Page 9 de 15 à son avis entachée d'incohérences et de contradictions internes. Des ultérieures contradictions surgiraient également dans les échanges entre les experts et le SMR. De son côté, l'OAI rejette les arguments de la recourante et confirme les conclusions expertales. Qu'en est-il ? Première demande de rente</w:t>
      </w:r>
    </w:p>
    <w:p>
      <w:r>
        <w:rPr>
          <w:b/>
        </w:rPr>
        <w:t>E. 9.1</w:t>
      </w:r>
    </w:p>
    <w:p>
      <w:r>
        <w:t>La recourante a demandé pour la première fois des prestations AI dans le cadre d'une procédure d'intervention précoce déclenchée par une blessure à la main à la suite d'une chute à son domicile. Des décisions du 12 janvier 2015 et du 29 avril 2015 lui ont respectivement refusé l'octroi de mesures de réadaptation professionnelle et d'une rente, ce qu'elle n'a pas contesté. Deuxième demande de rente</w:t>
      </w:r>
    </w:p>
    <w:p>
      <w:r>
        <w:rPr>
          <w:b/>
        </w:rPr>
        <w:t>E. 9.2</w:t>
      </w:r>
    </w:p>
    <w:p>
      <w:r>
        <w:t>La situation a changé lorsque la recourante a souffert d'une hernie discale lombaire en mai 2015. À la suite de son opération à B.________ le 2 juin 2015, la recourante a déposé une deuxième demande de rente. L'instruction de cette demande portant sur l'état post-opératoire de la recourante, l'OAI a diligenté plusieurs rapports des chirurgiens traitants de B.________ et de G.________. Cette procédure a conduit au versement d'une rente entière limitée dans le temps du 1er février 2016 au 30 avril 2016, puis une demi-rente limitée dans le temps du 1er au 31 mai 2016. Nouvelle demande litigieuse</w:t>
      </w:r>
    </w:p>
    <w:p>
      <w:r>
        <w:rPr>
          <w:b/>
        </w:rPr>
        <w:t>E. 9.3</w:t>
      </w:r>
    </w:p>
    <w:p>
      <w:r>
        <w:t>La recourante a déposé une troisième demande de rente le 31 janvier 2021, pendant une nouvelle hospitalisation à C.________. Elle y déclarait être atteinte d'arthrose dorsale et de douleurs constantes depuis son opération en juin 2015. Par courrier du 4 mars 2021, l'OAI a donné un délai de 30 jours à la recourante pour rendre plausible l'aggravation de son état de santé. Elle a donc produit un ensemble de certificats de C.________ du 26 janvier 2021. L'OAI a sollicité un rapport au Dr D.________, envoyé le 17 mars 2021 et rempli le 29 mars 2021. Ce dernier médecin a joint un rapport du Dr H.________ du 14 juillet 2020. La recourante a également été entendue par l'OAI dans un entretien téléphonique du 7 avril 2021. Le Dr I.________ du SMR a recommandé, sur la base de ces éléments et de l’entièreté du dossier, la mise sur pied d’une expertise bi-disciplinaire. Il sied ici de se pencher sur la question de savoir si l'instruction menée par l'OAI à ce stade de la procédure était, comme le soutient la recourante, insuffisante. En effet, pour cette dernière, l'autorité intimée aurait dû demander des renseignements complémentaires à C.________, au Dr H.________, et au Dr J.________. L'OAI étant entré en matière et ayant diligenté une expertise, force est de constater que la demande de la recourante a été prise au sérieux. Etant donné le large pouvoir d'appréciation de l'assureur</w:t>
      </w:r>
    </w:p>
    <w:p>
      <w:r>
        <w:t>Tribunal cantonal TC Page 10 de 15 social, il serait très difficile de relever une insuffisance dans l'instruction du dossier dans le cas d'espèce. Si la recourante estimait que certaines pièces du dossier étaient alors absolument nécessaires, elle aurait dû les produire en raison de son obligation de collaborer (art. 28 LPGA).</w:t>
      </w:r>
    </w:p>
    <w:p>
      <w:r>
        <w:rPr>
          <w:b/>
        </w:rPr>
        <w:t>E. 10</w:t>
      </w:r>
    </w:p>
    <w:p>
      <w:r>
        <w:t>F45.1 / DSM-5 300.82". Ce diagnostic représente une forme atténuée du trouble de somatisation (FAUCHÈRE, Trouble Somatoforme, 2007, p. 129). Il s'agit donc d'une atteinte à la santé moins importante que celle qui serait engendrée par un "trouble somatoforme persistant CIM-10 F45.4". En raison de sa gravité moindre, un trouble de ce genre ne saurait impliquer une évaluation normative telle que prévue par la jurisprudence (ATF 141 V 281, consid. 4.2).</w:t>
      </w:r>
    </w:p>
    <w:p>
      <w:r>
        <w:rPr>
          <w:b/>
        </w:rPr>
        <w:t>E. 10.1</w:t>
      </w:r>
    </w:p>
    <w:p>
      <w:r>
        <w:t>La recourante formule des critiques analogues à celles qui viennent d'être exposées sur l'incomplétude de l'instruction du dossier (cf. consid. 9.3.). Les mêmes constats sur l'obligation de collaborer s'imposent donc face à ce grief. En effet, les dispositions légales réglant les expertises médicales ne prévoient aucune obligation de renseignement systématique auprès des médecins traitants. Mais on peut considérer que, s'ils l'avaient estimé nécessaire, les experts auraient pu demander des avis complémentaires auprès des médecins traitants. Pour le surplus, il sera fait état des qualités et des défauts de l'expertise dans les considérants qui suivent.</w:t>
      </w:r>
    </w:p>
    <w:p>
      <w:r>
        <w:rPr>
          <w:b/>
        </w:rPr>
        <w:t>E. 10.2</w:t>
      </w:r>
    </w:p>
    <w:p>
      <w:r>
        <w:t>Sur le plan rhumatologique, le Dr F.________ a retenu un "syndrome lombo-vertébral persistant sans radiculalgie sciatique ou crurale" en tant que seul diagnostic ayant une répercussion sur la capacité de travail de la recourante. Ce diagnostic engendre selon l'expert une diminution de 20% dans la capacité de travail dans la dernière activité effectuée et une pleine capacité de travail dans une activité adaptée. Les limitations fonctionnelles retenues sont les suivantes : pas de port de charges de plus de 5 kg de façon répétée, pas de surcharge du rachis, pas d'échelles ni d'échafaudages, alternation des positions assise/debout selon sa convenance. La recourante critique l'expertise rhumatologique sur le fond comme sur la forme.</w:t>
      </w:r>
    </w:p>
    <w:p>
      <w:r>
        <w:rPr>
          <w:b/>
        </w:rPr>
        <w:t>E. 10.2.1</w:t>
      </w:r>
    </w:p>
    <w:p>
      <w:r>
        <w:t>Sur le plan formel, elle critique l'établissement du dossier, qui serait à son avis incomplet. À son avis, on aurait dû demander plus de rapports aux médecins traitants. Elle s'appuie également sur les constats de la Dre K.________, qui, dans son rapport SMR du 7 mars 2022, tout en validant l'expertise, a évoqué de façon laconique l'absence d'une anamnèse systématique dans cette dernière. Cette question a été abordée rapidement par le Dr F.________ à la p. 21 de l'expertise. L'expert y explique l'absence d'une anamnèse systématique générale par le fait qu'il s'agissait d'une expertise rhumatologique et non de médecine interne. Il convient de comprendre cet avis expertal de la façon suivante : le spécialiste a estimé disposer d'un nombre suffisant d'éléments afin de pouvoir poser son diagnostic et évaluer la capacité de travail de la recourante. Une anamnèse systématique était à son avis injustifiée. La justesse de cette</w:t>
      </w:r>
    </w:p>
    <w:p>
      <w:r>
        <w:t>Tribunal cantonal TC Page 11 de 15 estimation sera confirmée par la production du rapport médical du Dr H.________ du 27 juin 2022, qui confirmera l'absence d'éléments nouveaux ayant une répercussion sur les conclusions expertales. Cette manière de procéder est compréhensible étant donné le mandat de l'OAI et le dossier médical de la recourante, qui est caractérisé par une symptomatologie claire et cohérente dans le temps.</w:t>
      </w:r>
    </w:p>
    <w:p>
      <w:r>
        <w:rPr>
          <w:b/>
        </w:rPr>
        <w:t>E. 10.2.2</w:t>
      </w:r>
    </w:p>
    <w:p>
      <w:r>
        <w:t>Quant au fond, la recourante se plaint premièrement de la non-prise en compte des différents certificats médicaux dans le cadre du diagnostic. Ce grief est mal fondé, car le diagnostic de "syndrome lombo-vertébral persistant sans radiculalgie sciatique ou crurale" englobe les éléments rhumatologiques du dossier. Pour ce qui concerne la fibromyalgie, elle a bien été relevée par le Dr F.________ (rapport d'expertise, p. 27). Force est, cela étant, de constater que l'omission de la fibromyalgie dans la section dédiée au diagnostic (rapport d'expertise, p. 30) est due à la nature également psychique de cette atteinte. L'expert-rhumatologue, soucieux de se limiter à son champ d'expertise, a laissé l'évaluation de ce trouble à l’appréciation de l'experte-psychiatre, dans le cadre, on le rappelle, d’une expertise bi-disciplinaire.</w:t>
      </w:r>
    </w:p>
    <w:p>
      <w:r>
        <w:rPr>
          <w:b/>
        </w:rPr>
        <w:t>E. 10.2.3</w:t>
      </w:r>
    </w:p>
    <w:p>
      <w:r>
        <w:t>Le volet rhumatologique de l'expertise effectué par le Dr F.________ a ainsi été effectué selon les règles de l'art et ne saurait être remis en cause par les critiques de la recourante.</w:t>
      </w:r>
    </w:p>
    <w:p>
      <w:r>
        <w:rPr>
          <w:b/>
        </w:rPr>
        <w:t>E. 10.3</w:t>
      </w:r>
    </w:p>
    <w:p>
      <w:r>
        <w:t>Quant au volet psychiatrique de l'expertise, le diagnostic retenu par la Dre E.________ est de "trouble somatoforme indifférencié CIM-10 F45.1 / DSM-5 300.82". Ce trouble a été considéré comme sans répercussion sur la capacité de travail. La recourante critique, là encore, le volet psychiatrique de l'expertise sur le fond comme sur la forme.</w:t>
      </w:r>
    </w:p>
    <w:p>
      <w:r>
        <w:rPr>
          <w:b/>
        </w:rPr>
        <w:t>E. 10.3.1</w:t>
      </w:r>
    </w:p>
    <w:p>
      <w:r>
        <w:t>Sur le plan formel, la recourante soulève les mêmes griefs sur l'incomplétude du dossier. Les mêmes considérations qui ont conduit la Cour à confirmer la manière de procéder de l'expert- rhumatologue, imposent a fortiori de valider le choix de la Dre E.________ de ne pas demander d'avis complémentaires auprès des médecins traitants. En effet, le dossier psychiatrique était vierge de tout élément psychiatrique. La recourante n'avait jamais effectué une psychothérapie, ni un autre traitement psychiatrique. Le seul épisode pouvant être pris en compte est une rencontre avec un psychologue de C.________, qui n'a toutefois pas pu être identifié par la recourante. Le rapport d'expertise tient également compte de cet événement (rapport d'expertise, p. 38). Il est donc impossible de reprocher à la Dre E.________ de ne pas avoir sollicité des éléments inexistants. La recourante déplore également des inexactitudes dans l'anamnèse de l'experte-psychiatre. La seule inexactitude soulevée porte toutefois sur la durée du séjour en France de la recourante dans les années 80. L'experte a en effet écrit que ce séjour était "de 1968 à 1989", ce qui n'est pas conforme à la réalité, étant donné que la recourante a grandi au Kosovo.</w:t>
      </w:r>
    </w:p>
    <w:p>
      <w:r>
        <w:t>Tribunal cantonal TC Page 12 de 15 Cette même « erreur » est reprise par la Dre L.________ du SMR dans son rapport du 9 juin 2022. Dans ce rapport, cette dernière affirme que l'anamnèse personnelle faite par la Dre E.________ serait "peu informative", cela avant de néanmoins valider les autres parties de l'anamnèse. Hormis cette imprécision sur le séjour en France, ni la recourante ni la Dre L.________ ne soulèvent des éléments concrets susceptibles d’amener à penser que l'anamnèse effectuée par l'experte- psychiatre serait incomplète ou fausse. L'inexactitude sur les dates est probablement due à une faute de frappe et n'a pas vocation à remettre en cause l'évaluation expertale. Pour le surplus, l'anamnèse a été établie selon les règles de l'art.</w:t>
      </w:r>
    </w:p>
    <w:p>
      <w:r>
        <w:rPr>
          <w:b/>
        </w:rPr>
        <w:t>E. 10.3.2</w:t>
      </w:r>
    </w:p>
    <w:p>
      <w:r>
        <w:t>Pour ce qui concerne le fond de l'expertise psychiatrique, la recourante critique le diagnostic retenu. Elle conteste également les répercussions sur sa capacité de travail estimées par la Dre E.________. Il sied en l'espèce de vérifier si une évaluation normative et structurée de l'état de santé psychique de la recourante a été menée selon les règles de l'art (cf. ATF 141 V 281 consid. 4.).</w:t>
      </w:r>
    </w:p>
    <w:p>
      <w:r>
        <w:rPr>
          <w:b/>
        </w:rPr>
        <w:t>E. 10.3.2.1</w:t>
      </w:r>
    </w:p>
    <w:p>
      <w:r>
        <w:t>Il convient en premier lieu d'analyser l'expertise sous l'angle du diagnostic retenu et contesté par la recourante, qui en déplore des ambiguïtés. Dans la même page où elle avait posé le "trouble somatoforme indifférencié CIM-10 F45.1 / DSM- 5 300.82" en tant que diagnostic sans répercussion sur la capacité de travail, la Dre E.________ a écrit "le diagnostic retenu est celui d'un syndrome douloureux somatoforme persistant CIM-</w:t>
      </w:r>
    </w:p>
    <w:p>
      <w:r>
        <w:rPr>
          <w:b/>
        </w:rPr>
        <w:t>E. 10.3.2.2</w:t>
      </w:r>
    </w:p>
    <w:p>
      <w:r>
        <w:t>Si, malgré ce qui précède, l'on procédait à une telle évaluation, force serait alors de constater que l'état de santé de la recourante ne remplirait pas les critères de la jurisprudence. À l'heure actuelle, aucune thérapie dans le domaine de la psychiatrie n'a été prodiguée. Pourtant, une telle thérapie, surtout au stade du "trouble somatoforme indifférencié CIM-10 F45.1", pourrait avoir des effets positifs, ne serait-ce que dans l'apprentissage de la gestion des douleurs (cf. FAUCHÈRE , p. 197 ss). Il est donc impossible de relever une résistance au traitement (cf. ATF 141 V 281, consid. 4.3.1.2). Pour ce qui concerne les comorbidités (cf. ATF 141 V 281, consid. 4.3.1.3), le seul élément susceptible d'avoir une influence sur la capacité de travail de la recourante est l'absence de sommeil. Cet élément a été pris en compte par l'OAI à la suite de la production du rapport médical du Dr H.________ du 27 juin 2022. En effet, à la suite de ce rapport, l'OAI a reconnu une baisse de rendement de 10%. Sous l'angle de la personnalité et du contexte social (ATF 141 V 281, consid. 4.3.2 s.), la recourante se définit elle-même comme une femme forte, indépendante et bien entourée. Tant le mémoire de recours que l'expertise psychiatrique relèvent la force de caractère de Madame, qui a toujours su réagir aux difficultés de la vie. Le fait qu'elle ait surmonté sa fierté et décidé de débuter un suivi psychiatrique en est une preuve ultérieure. Elle est également bien entourée par ses proches, ce qui représente une ressource non-négligeable. Elle reçoit notamment l'aide de ses belles-filles et de son mari pour des affaires ménagères. Pour ce qui concerne enfin l'angle de la cohérence, aucune considération ne se pose en l'espèce. Les plaintes de la recourante sont en effet cohérentes avec ses troubles. En conclusion, force est de constater que, même si le diagnostic de "trouble somatoforme persistant CIM-10 F45.4" avait été retenu, la pleine capacité de travail de la recourante aurait dû être confirmée.</w:t>
      </w:r>
    </w:p>
    <w:p>
      <w:r>
        <w:rPr>
          <w:b/>
        </w:rPr>
        <w:t>E. 10.4</w:t>
      </w:r>
    </w:p>
    <w:p>
      <w:r>
        <w:t>Vu ce qui précède, l'expertise bidisciplinaire peut être confirmée tant dans son exécution que dans ses conclusions.</w:t>
      </w:r>
    </w:p>
    <w:p>
      <w:r>
        <w:rPr>
          <w:b/>
        </w:rPr>
        <w:t>E. 11</w:t>
      </w:r>
    </w:p>
    <w:p>
      <w:r>
        <w:t>Évolution ultérieure</w:t>
      </w:r>
    </w:p>
    <w:p>
      <w:r>
        <w:rPr>
          <w:b/>
        </w:rPr>
        <w:t>E. 11.1</w:t>
      </w:r>
    </w:p>
    <w:p>
      <w:r>
        <w:t>La recourante a encore produit un certificat médical du Dr H.________ du 27 juin 2022. Comme cela a été dit dans les considérants précédents, ce certificat n'amène pas d'éléments nouveaux susceptibles de modifier le diagnostic ou l'évaluation générale du cas. Il a toutefois été</w:t>
      </w:r>
    </w:p>
    <w:p>
      <w:r>
        <w:t>Tribunal cantonal TC Page 14 de 15 pris en compte par l'OAI, qui a reconnu une baisse de rendement de 10% en raison des problèmes de fatigue liés au sommeil.</w:t>
      </w:r>
    </w:p>
    <w:p>
      <w:r>
        <w:rPr>
          <w:b/>
        </w:rPr>
        <w:t>E. 11.2</w:t>
      </w:r>
    </w:p>
    <w:p>
      <w:r>
        <w:t>La recourante a également produit deux certificats de la Dre M.________ du 10 et du</w:t>
      </w:r>
    </w:p>
    <w:p>
      <w:r>
        <w:rPr>
          <w:b/>
        </w:rPr>
        <w:t>E. 12</w:t>
      </w:r>
    </w:p>
    <w:p>
      <w:r>
        <w:t>Conclusion – frais et indemnité de partie</w:t>
      </w:r>
    </w:p>
    <w:p>
      <w:r>
        <w:rPr>
          <w:b/>
        </w:rPr>
        <w:t>E. 12.1</w:t>
      </w:r>
    </w:p>
    <w:p>
      <w:r>
        <w:t>Vu ce qui précède, la pleine capacité de travail retenue par les experts a été établie au degré de la vraisemblance prépondérante. Partant, le recours est rejeté et la décision de l'OAI du 24 mars 2023 est confirmée.</w:t>
      </w:r>
    </w:p>
    <w:p>
      <w:r>
        <w:rPr>
          <w:b/>
        </w:rPr>
        <w:t>E. 12.2</w:t>
      </w:r>
    </w:p>
    <w:p>
      <w:r>
        <w:t>La procédure n'étant pas gratuite, des frais de justice de CHF 800.- sont mis à la charge de la recourante qui succombe. Ils sont compensés avec son avance de frais du 25 mai 2023. Aucune indemnité de partie n'est allouée. (Dispositif en page suivante).</w:t>
      </w:r>
    </w:p>
    <w:p>
      <w:r>
        <w:t>Tribunal cantonal TC Page 15 de 15 la Cour arrête : I. Le recours est rejeté. Partant, la décision querellée est confirmée. II. Des frais de CHF 800.- sont mis à la charge de la recourante. Ils sont compensés avec son avance de frais du 25 mai 2023.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janvier 2024/mbo-fmo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