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62 vom 16. Januar 2024</w:t>
      </w:r>
    </w:p>
    <w:p>
      <w:r>
        <w:t>FR Kantonsgericht, 2024-01-16, FR</w:t>
      </w:r>
    </w:p>
    <w:p>
      <w:r>
        <w:rPr>
          <w:b/>
        </w:rPr>
        <w:t xml:space="preserve">Quelle: </w:t>
      </w:r>
      <w:r>
        <w:t>https://mcp.opencaselaw.ch/entscheid/fr_gerichte_605_2023_62</w:t>
      </w:r>
    </w:p>
    <w:p>
      <w:r>
        <w:t>FR: FR_GERICHTE 605 2023 62 du 16 janvier 2024</w:t>
      </w:r>
    </w:p>
    <w:p>
      <w:r>
        <w:t>IT: FR_GERICHTE 605 2023 62 del 16 gennaio 2024</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Le recours a été interjeté en temps utile et dans les formes légales auprès de l'autorité compétente à raison du lieu ainsi que de la matière. L'assurée, dûment représentée, est en outre directement atteinte par la décision querellée et a dès lors un intérêt digne de protection à ce qu'elle soit, cas échéant, annulée ou modifiée. Partant, le recours est recevable.</w:t>
      </w:r>
    </w:p>
    <w:p>
      <w:r>
        <w:rPr>
          <w:b/>
        </w:rPr>
        <w:t>E. 2</w:t>
      </w:r>
    </w:p>
    <w:p>
      <w:r>
        <w:t>Règles relatives à la procédure de révision – nouvelle demande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w:t>
      </w:r>
    </w:p>
    <w:p>
      <w:r>
        <w:t>Tribunal cantonal TC Page 4 de 9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w:t>
      </w:r>
    </w:p>
    <w:p>
      <w:r>
        <w:rPr>
          <w:b/>
        </w:rPr>
        <w:t>E. 2.2</w:t>
      </w:r>
    </w:p>
    <w:p>
      <w:r>
        <w:t>Selon l’art. 17 LPGA, la rente d’invalidité est, d’office ou sur demande, révisée pour l’avenir, à savoir augmentée, réduite ou supprimée, lorsque le taux d’invalidité de l’assuré subit une modification d’au moins 5 points de pourcentage, ou atteint 100 % (al. 1). De même, toute prestation durable accordée en vertu d’une décision entrée en force est, d’office ou sur demande, augmentée ou réduite en conséquence, ou encore supprimée si les circonstances dont dépendait son octroi changent notablement.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du TF 9C_46/2009 du 14 août 2009 consid. 3.1 in SVR 2010 IV n. 4; 9C_910/2010 du 7 juillet 2011 consid. 3.2 a contrario).</w:t>
      </w:r>
    </w:p>
    <w:p>
      <w:r>
        <w:rPr>
          <w:b/>
        </w:rPr>
        <w:t>E. 2.3</w:t>
      </w:r>
    </w:p>
    <w:p>
      <w:r>
        <w:t>Conformément à l'art. 87 al. 2 et 3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w:t>
      </w:r>
    </w:p>
    <w:p>
      <w:r>
        <w:t>Tribunal cantonal TC Page 5 de 9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w:t>
      </w:r>
    </w:p>
    <w:p>
      <w:r>
        <w:rPr>
          <w:b/>
        </w:rPr>
        <w:t>E. 2.4</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 2013 consid. 4.1 et les références citées). Les principes régissant la révision selon l’art. 17 LPGA étant applicables par analogie aux cas prévus à l’art 87 RAI, il doit en aller de même s'agissant d'une nouvelle demande, comme ici.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w:t>
      </w:r>
    </w:p>
    <w:p>
      <w:r>
        <w:rPr>
          <w:b/>
        </w:rPr>
        <w:t>E. 2.5</w:t>
      </w:r>
    </w:p>
    <w:p>
      <w:r>
        <w:t>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w:t>
      </w:r>
    </w:p>
    <w:p>
      <w:r>
        <w:t>Tribunal cantonal TC Page 6 de 9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w:t>
      </w:r>
    </w:p>
    <w:p>
      <w:r>
        <w:rPr>
          <w:b/>
        </w:rPr>
        <w:t>E. 3</w:t>
      </w:r>
    </w:p>
    <w:p>
      <w:r>
        <w:t>Discussion du cas d’espèce Comme rappelé ci-dessus, dans le cadre d'un recours déposé à l'encontre d'une décision de refus d'entrer en matière, l'Instance de céans se borne à vérifier si l'assurée a rendu plausible l'aggravation de son taux d’invalidité.</w:t>
      </w:r>
    </w:p>
    <w:p>
      <w:r>
        <w:rPr>
          <w:b/>
        </w:rPr>
        <w:t>E. 3.1</w:t>
      </w:r>
    </w:p>
    <w:p>
      <w:r>
        <w:t>Dans un premier temps, il est essentiel de rappeler les motifs ayant conduit l’OAI à initialement refuser de prester par décision du 12 novembre 2018. L’assurée avait alors déposé une demande de prestations auprès de l’Office de l’assurance- invalidité du canton de Fribourg (ci-après : OAI) en raison d’une « dépression » (dossier OAI, p. 53). En accompagnement de cette demande figurait une expertise du Dr E.________ du 22 février 2018. L’expert précisait alors que la recourante était active en tant qu’assistante de vente au sein de C.________ SA et connaissait des tensions avec son supérieur. Son examen clinique était globalement dans la norme, soulignant notamment l’absence de dépressivité marquée ainsi qu’un examen neuropsychologique dans la norme. Il constatait que l’assurée avait cessé toute prise de médication et que l’évolution avait été favorable, relevant surtout un problème professionnel. Se fondant sur les pièces du dossier, l’anamnèse et l’examen de l’assurée, l’expert retenait le diagnostic de « trouble de l’adaptation mixte avec anxiété et humeur dépressive subclinique à léger ». Selon lui, ce diagnostic n’avait pas d’impact sur la capacité de travail (dossier OAI, p. 61). A la même époque, le psychiatre traitant de l’assurée, le Dr H.________, spécialiste en psychiatrie et psychothérapie, retenait le diagnostic suivant : « épisode dépressif moyen (F32.1) dd. trouble de personnalité ». Ce médecin soulignait ce qui suit : « Au début du suivi, la patiente présente un état dépressif avec des symptômes d'angoisse et d’anxiété assez sévère, des troubles du sommeil, des crises de pleurs, des idées noires et suicidaires sans scénario de passage à l’acte, un isolement social, un manque d’estime de soi ». Néanmoins, il admettait que sa patiente était en mesure de reprendre son emploi à 50% dans un premier temps, puis graduellement à 100%, soulignant l’importance d’un milieu professionnel stable et pas trop stressant. Il précisait en outre que, selon lui, une chirurgie bariatrique était une prémisse essentielle à toute reprise (dossier OAI, p. 17, 91 et 99).</w:t>
      </w:r>
    </w:p>
    <w:p>
      <w:r>
        <w:rPr>
          <w:b/>
        </w:rPr>
        <w:t>E. 3.2</w:t>
      </w:r>
    </w:p>
    <w:p>
      <w:r>
        <w:t>Reste à déterminer s'il a été rendu plausible que l'état de santé de l’assurée s’est modifié de manière à influencer ses droits depuis lors. C'est la thèse que défend la recourante, s’appuyant en cela sur un courriel du 14 février 2023 de la Dre I.________, spécialiste en psychiatrie et psychothérapie (dossier OAI, p. 171).</w:t>
      </w:r>
    </w:p>
    <w:p>
      <w:r>
        <w:t>Tribunal cantonal TC Page 7 de 9 Dans ce courriel, la psychiatre souligne que « l'évaluation de l'état de santé de la patiente est différente actuellement du fait d'éléments nouveaux et justifie que le dossier puisse être réexaminé ». Selon elle, la prise en charge met en évidence un trouble de l’humeur ancien récurrent existant depuis l’adolescence, évoquant les hypothèses d’un trouble bipolaire ainsi que d’un trouble du déficit de l’attention avec hyperactivité (TDAH). Elle précise en outre que sa patiente a présenté depuis la deuxième partie de 2021 jusqu'à décembre 2022 un état dépressif sévère avec idées suicidaires et perturbation grave de son fonctionnement, troubles dont la guérison a été ralentie par des éléments traumatiques subis entre 2016 et 2018. Son état actuel est instable et implique une prise en charge bimensuelle, avec prise de médication et psychothérapie. En outre, quand son état le permettra, l'adaptation de son activité professionnelle aux limitations fonctionnelles qui seront encore présentes devrait par ailleurs être envisagée. Force est de constater que la médecin traitante atteste donc d’un « épisode d'allure hypomaniaque » ainsi que d’un « état dépressif sévère avec idées suicidaires et perturbation grave de son fonctionnement » depuis la deuxième partie de 2021 jusqu'à décembre 2022. La médecin souligne par ailleurs la présence de symptômes qui apparaissent d’une gravité supérieure à ceux évoqués par le Dr E.________ dans son expertise du 22 février 2018. De même, par rapport à 2018, elle évoque une reprise du traitement médical, que cela soit sous l’angle des consultations ou de la pharmacologie. A lire ce rapport, il existe donc une certaine cohérence dans la « décompensation thymique » observée par la psychiatre. Face à la situation décrite par l’expert, la Dre I.________ semble donc aller dans le sens, certes d’une autre appréciation de la situation en 2018 dont témoigne sa mention « éléments traumatiques subis de 2016 à 2018 », mais aussi d’une décompensation thymique récente d’un état auparavant stabilisé.</w:t>
      </w:r>
    </w:p>
    <w:p>
      <w:r>
        <w:rPr>
          <w:b/>
        </w:rPr>
        <w:t>E. 3.3</w:t>
      </w:r>
    </w:p>
    <w:p>
      <w:r>
        <w:t>Les conclusions du Dr J.________, spécialiste en psychiatrie et psychothérapie au sein du SMR, dans son rapport du 7 mars 2023 (dossier OAI, p. 177) ne parviennent pas à jeter un doute complet sur les éléments apportés par la Dre I.________, en particulier en lien avec cette décompensation thymique. En effet, sur ce point, le médecin du SMR semble écarter toute aggravation de la situation en se fondant son raisonnement essentiellement sur le contenu du certificat de travail du 31 mars 2022. Toutefois, ce faisant, il semble faire l’impasse sur les éléments figurant dans la lettre de licenciement du 23 février 2022. Dans cette lettre, l’employeur se déclare « touché par la situation personnelle » que la recourante traverse et souligne que le travail de la recourante est accompli par ses collègues. En d’autres termes, la lettre de licenciement met en doute les qualités évoquées dans le certificat de travail du 31 mars 2023, à la base du raisonnement du médecin du SMR. Sur le point précis de la décompensation thymique, le Dr J.________ présente donc une argumentation aux pieds d’argile, insuffisante pour écarter définitivement les éléments apportés par la médecin traitante et illustrés, dans les faits, par l’échec rapide d’une tentative de reprise du travail.</w:t>
      </w:r>
    </w:p>
    <w:p>
      <w:r>
        <w:rPr>
          <w:b/>
        </w:rPr>
        <w:t>E. 3.4</w:t>
      </w:r>
    </w:p>
    <w:p>
      <w:r>
        <w:t>Dans un tel contexte, il est possible que l’appréciation de la Dre I.________ consiste (totalement ou partiellement) en une appréciation différente d’un état de santé demeuré inchangé. De même, on ne peut pas exclure que les raisonnements médicaux et diagnostics émis par cette dernière soient sujets à une certaine réserve.</w:t>
      </w:r>
    </w:p>
    <w:p>
      <w:r>
        <w:t>Tribunal cantonal TC Page 8 de 9 Néanmoins, après avoir pesé tous les éléments à disposition, un doute subsiste aux yeux de la Cour, lequel n’est pas entièrement levé par la lecture des pièces au dossier. Il appert ainsi qu’une péjoration de l’état de santé, à tout le moins des symptômes, a été rendue plausible de sorte qu’il appartenait à l’assurance-invalidité d’entrer en matière sur la nouvelle demande déposée le 6 janvier 2023. Au vu des éléments nouvellement soulevés devant lui, l’OAI ne pouvait en effet prononcer un refus d’entrer en matière sans porter atteinte à son obligation d’instruire.</w:t>
      </w:r>
    </w:p>
    <w:p>
      <w:r>
        <w:rPr>
          <w:b/>
        </w:rPr>
        <w:t>E. 4</w:t>
      </w:r>
    </w:p>
    <w:p>
      <w:r>
        <w:t>Sort du recours</w:t>
      </w:r>
    </w:p>
    <w:p>
      <w:r>
        <w:rPr>
          <w:b/>
        </w:rPr>
        <w:t>E. 4.1</w:t>
      </w:r>
    </w:p>
    <w:p>
      <w:r>
        <w:t>Le recours (605 2023 62), bien fondé, doit être admis et la décision du 13 mars 2023 annulée.</w:t>
      </w:r>
    </w:p>
    <w:p>
      <w:r>
        <w:rPr>
          <w:b/>
        </w:rPr>
        <w:t>E. 4.2</w:t>
      </w:r>
    </w:p>
    <w:p>
      <w:r>
        <w:t>Compte tenu de l’admission du recours au fond, la demande (605 2023 63) d’assistance judiciaire totale devient sans objet.</w:t>
      </w:r>
    </w:p>
    <w:p>
      <w:r>
        <w:rPr>
          <w:b/>
        </w:rPr>
        <w:t>E. 4.3</w:t>
      </w:r>
    </w:p>
    <w:p>
      <w:r>
        <w:t>Les frais de procédure sont fixés à CHF 400.- et sont mis à la charge de l’autorité intimée qui succombe.</w:t>
      </w:r>
    </w:p>
    <w:p>
      <w:r>
        <w:rPr>
          <w:b/>
        </w:rPr>
        <w:t>E. 4.4</w:t>
      </w:r>
    </w:p>
    <w:p>
      <w:r>
        <w:t>Dans la mesure où elle obtient gain de cause, la recourante a droit à une indemnité de partie pour ses frais de défense. Le 11 juillet 2023, sa mandataire, Me Darwiche, avocate, a transmis sa liste de frais, d’un montant total de CHF 5’206.75, à savoir CHF 4’604.30 au titre d’honoraires (18h25 à CHF 250.-), CHF 230.20 au titre de débours forfaitaires (5%) et CHF 372.25 au titre de la TVA (7.7%). Force est de constater que la liste de frais produite n’apparaît pas conforme aux exigences du tarif cantonal du 17 décembre 1991 des frais de procédure et des indemnités en matière de juridiction administrative (Tarif JA, RSF 150.12). En particulier, les frais sont calculés de manière forfaitaire alors que cette méthode n’est pas prévue en matière d’assurances sociales (cf. arrêt TC 605 2016 93 du 7 mars 2017 ; cf. ég. art. 11 al. 2 Tarif JA ; art. 68 du Règlement sur la Justice ; RJ ; RSF 130.11). En outre, en l’occurrence, au vu de la nature, de l’importance et de la difficulté de la cause, l’ampleur du travail alléguée par la mandataire apparaît disproportionnée. On relèvera, en particulier, que l’avocate n'a pas été confrontée à des questions de fait ou de droit inhabituelles ou exceptionnellement ardues. Compte tenu de l'importance et de la difficulté de l'affaire (art. 11 al. 2 Tarif JA), l'indemnité de partie est fixée ex aequo et bono à un montant total de CHF 2'207.85, à savoir à CHF 2'000.- au titre d'honoraires (8 heures à CHF 250.-), CHF 50.- au titre de frais et CHF 158.- au titre de la TVA (7,7%). Ce montant est intégralement mis à la charge de l'autorité intimée qui succombe. (Dispositif en page suivante)</w:t>
      </w:r>
    </w:p>
    <w:p>
      <w:r>
        <w:t>Tribunal cantonal TC Page 9 de 9 la Cour arrête : I. Le recours (605 2023 62) est admis. Partant, la décision du 13 mars 2023 est annulée. II. La requête (605 2023 63) d’assistance judiciaire gratuite totale est sans objet. III. Une indemnité de partie de CHF 2'207.85, dont CHF 158.- au titre de la TVA (7.7%), est accordée et versée en mains de Me Darwiche. Elle est mise à la charge de l’Office de l’assurance-invalidité qui succombe. IV. Les frais de justice sont fixés à CHF 400.- et sont mis à la charge de l’autorité intimée qui succombe.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janvier 2024/pte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