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220 vom 18. September 2024</w:t>
      </w:r>
    </w:p>
    <w:p>
      <w:r>
        <w:t>FR Kantonsgericht, 2024-09-18, DE</w:t>
      </w:r>
    </w:p>
    <w:p>
      <w:r>
        <w:rPr>
          <w:b/>
        </w:rPr>
        <w:t xml:space="preserve">Quelle: </w:t>
      </w:r>
      <w:r>
        <w:t>https://mcp.opencaselaw.ch/entscheid/fr_gerichte_605_2023_220</w:t>
      </w:r>
    </w:p>
    <w:p>
      <w:r>
        <w:t>FR: FR_GERICHTE 605 2023 220 du 18 septembre 2024</w:t>
      </w:r>
    </w:p>
    <w:p>
      <w:r>
        <w:t>IT: FR_GERICHTE 605 2023 220 del 18 settembre 2024</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vom 28. November 2023 gegen den Einspracheentscheid des AMA vom 2. Novem- ber 2023 ist fristgerecht bei der sachlich und örtlich zuständigen Beschwerdeinstanz eingereicht worden. Der Beschwerdeführer ist zur Einreichung der Beschwerde befugt, da er vom angefochteten Einspracheentscheid unmittelbar berührt ist und ein schutzwürdiges Interesse hat, dass das Kan- tonsgericht, I. Sozialversicherungsgerichtshof, prüft, ob das AMA das Erlassgesuch zu Recht abge- wiesen hat.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w:t>
      </w:r>
    </w:p>
    <w:p>
      <w:r>
        <w:rPr>
          <w:b/>
        </w:rPr>
        <w:t>E. 1.2</w:t>
      </w:r>
    </w:p>
    <w:p>
      <w:r>
        <w:t>Gegenstand des hier streitigen Einspracheentscheides war einzig und allein das Gesuch um Erlass betreffend die von der Syna verfügte Rückforderung. Der Beschwerdeführer bringt im Rahmen der Beschwerde vor, die Vorinstanz habe seine Eingabe vom 30. Mai 2023 als Erlassgesuch statt als Einsprache behandelt und die Erlassfrage könne erst geprüft werden, wenn die Rückforderungsforde- rung rechtskräftig feststehe. Indem er in seiner Eingabe vom 30. Mai 2023 lediglich auf seine prekären finanziellen Verhältnisse Bezug nahm und insbesondere keinen Antrag und keine Begründung hin- sichtlich der verfügten Rückforderung anfügte, hat die Syna diese zu Recht als Erlassgesuch behan- delt und sie dem hierfür zuständigen AMA weitergeleitet. Somit ist die Rückforderungsverfügung vom</w:t>
      </w:r>
    </w:p>
    <w:p>
      <w:r>
        <w:rPr>
          <w:b/>
        </w:rPr>
        <w:t>E. 4</w:t>
      </w:r>
    </w:p>
    <w:p>
      <w:r>
        <w:t>Fazit Zusammenfassend hat das AMA das Erlassgesuch des Beschwerdeführers zu Recht abgewiesen. Der Einspracheentscheid vom 2. November 2023 ist zu bestätigen und die Beschwerde abzuweisen, soweit darauf eingetreten werden kann. Da der Beschwerdeführer mit seinen Anträgen unterliegt, hat er keinen Anspruch auf Parteientschädi- gung.</w:t>
      </w:r>
    </w:p>
    <w:p>
      <w:r>
        <w:rPr>
          <w:b/>
        </w:rPr>
        <w:t>E. 5</w:t>
      </w:r>
    </w:p>
    <w:p>
      <w:r>
        <w:t>URP-Gesuch Schliesslich hat der Beschwerdeführer um Gewährung der unentgeltlichen Rechtspflege und um Ernennung von Rechtsanwalt Thomas Zbinden zum amtlichen Rechtsbeistand ersucht (605 2023 221).</w:t>
      </w:r>
    </w:p>
    <w:p>
      <w:r>
        <w:rPr>
          <w:b/>
        </w:rPr>
        <w:t>E. 5.1</w:t>
      </w:r>
    </w:p>
    <w:p>
      <w:r>
        <w:t>Gemäss Art. 61 Ingress Satz 1 ATSG bestimmt sich das Verfahren vor dem kantonalen Ver- sicherungsgericht, unter Vorbehalt von Art. 1 Abs. 3 des Bundesgesetzes vom 20. Dezember 1968 über das Verwaltungsverfahren (VwVG; SR 172.021), nach kantonalem Recht, welches bestimmten bundesrechtlichen Anforderungen zu genügen hat. Art. 61 Bst. f ATSG sieht vor, dass das Recht, sich verbeiständen zu lassen, gewährleistet sein muss und der Beschwerde 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 geltliche Rechtspflege. Die unentgeltliche Rechtspflege wird nicht gewährt, wenn das Verfahren von vornherein aussichtslos erscheint (Art. 142 Abs. 1 und 2 des kantonalen Gesetzes vom 23. Mai 1991 über die Verwaltungsrechtspflege [VRG; SGF 150.1]). Es sind jene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 bend ist, ob eine Partei, die über die nötigen finanziellen Mittel verfügt, sich bei vernünftiger Überle- gung zu einem Prozess entschliessen würde; eine Partei soll einen Prozess, den sie auf eigene Rechnung und Gefahr nicht führen würde, nicht deshalb anstrengen können, weil er sie nichts kostet (BGE 129 I 129 E. 2.3.1, 128 I 225 E. 2.5.3).</w:t>
      </w:r>
    </w:p>
    <w:p>
      <w:r>
        <w:rPr>
          <w:b/>
        </w:rPr>
        <w:t>E. 5.2</w:t>
      </w:r>
    </w:p>
    <w:p>
      <w:r>
        <w:t>Die Beschwerde ist bei der gegebenen Sach- und Rechtslage als aussichtslos zu bezeich- nen. Zum Zeitpunkt des Leistungsbezugs lag offensichtlich keine Gutgläubigkeit vor (vgl. insbeson-</w:t>
      </w:r>
    </w:p>
    <w:p>
      <w:r>
        <w:t>Kantonsgericht KG Seite 8 von 8 dere E. 3.3). Damit ist eine der kumulativen Voraussetzungen für die unentgeltliche Rechtspflege nicht gegeben, weshalb das URP-Gesuch (605 2023 221) abzuweisen ist.</w:t>
      </w:r>
    </w:p>
    <w:p>
      <w:r>
        <w:rPr>
          <w:b/>
        </w:rPr>
        <w:t>E. 5.3</w:t>
      </w:r>
    </w:p>
    <w:p>
      <w:r>
        <w:t>Obwohl das Verfahren kostenpflichtig wäre, wird ausnahmsweise auf die Erhebung von Gerichtskosten verzichtet (Art. 129 VRG). Der Hof erkennt: I. Die Beschwerde (605 2023 220) von A.________ wird abgewiesen, soweit darauf eingetreten wird. II. Das Gesuch um Gewährung der unentgeltlichen Rechtspflege (605 2023 221) wird abgewie- sen. III. Es werden keine Gerichtskosten erhoben. IV. Es besteht kein Anspruch auf Parteientschädigung.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18. September 2024/bis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