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141 vom 2. Mai 2024</w:t>
      </w:r>
    </w:p>
    <w:p>
      <w:r>
        <w:t>FR Kantonsgericht, 2024-05-02, FR</w:t>
      </w:r>
    </w:p>
    <w:p>
      <w:r>
        <w:rPr>
          <w:b/>
        </w:rPr>
        <w:t xml:space="preserve">Quelle: </w:t>
      </w:r>
      <w:r>
        <w:t>https://mcp.opencaselaw.ch/entscheid/fr_gerichte_605_2023_141</w:t>
      </w:r>
    </w:p>
    <w:p>
      <w:r>
        <w:t>FR: FR_GERICHTE 605 2023 141 du 2 mai 2024</w:t>
      </w:r>
    </w:p>
    <w:p>
      <w:r>
        <w:t>IT: FR_GERICHTE 605 2023 141 del 2 maggio 2024</w:t>
      </w:r>
    </w:p>
    <w:p>
      <w:pPr>
        <w:pStyle w:val="Heading2"/>
      </w:pPr>
      <w:r>
        <w:t>Regeste</w:t>
      </w:r>
    </w:p>
    <w:p>
      <w:r>
        <w:t>Arrêt de la Ie Cour des assurances sociales du Tribunal cantonal | Invalidenversicherung</w:t>
      </w:r>
    </w:p>
    <w:p>
      <w:pPr>
        <w:pStyle w:val="Heading2"/>
      </w:pPr>
      <w:r>
        <w:t>Erwägungen</w:t>
      </w:r>
    </w:p>
    <w:p>
      <w:r>
        <w:rPr>
          <w:b/>
        </w:rPr>
        <w:t>E. 7</w:t>
      </w:r>
    </w:p>
    <w:p>
      <w:r>
        <w:t>Frais et indemnité de partie La procédure n’étant pas gratuite, les frais de justice sont mis à la charge de l’assurée qui succombe.</w:t>
      </w:r>
    </w:p>
    <w:p>
      <w:r>
        <w:t>Tribunal cantonal TC Page 12 de 12 Ils sont fixés à CHF 400.- et compensés avec son avance de frais du 8 août 2023. Aucune indemnité de partie n’est enfin allouée, vu le sort de la cause. la Cour arrête : I. Le recours est rejeté. II. Des frais de justice de CHF 400.- sont mis à la charge de la recourante. Ils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2024/mbo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