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 vom 22. August 2023</w:t>
      </w:r>
    </w:p>
    <w:p>
      <w:r>
        <w:t>FR Kantonsgericht, 2023-08-22, FR</w:t>
      </w:r>
    </w:p>
    <w:p>
      <w:r>
        <w:rPr>
          <w:b/>
        </w:rPr>
        <w:t xml:space="preserve">Quelle: </w:t>
      </w:r>
      <w:r>
        <w:t>https://mcp.opencaselaw.ch/entscheid/fr_gerichte_605_2023_10</w:t>
      </w:r>
    </w:p>
    <w:p>
      <w:r>
        <w:t>FR: FR_GERICHTE 605 2023 10 du 22 août 2023</w:t>
      </w:r>
    </w:p>
    <w:p>
      <w:r>
        <w:t>IT: FR_GERICHTE 605 2023 10 del 22 agosto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 compte tenu des féries de fin d'année – et dans les formes légales auprès de l’autorité judiciaire compétente – vu le domicile dans le canton de Fribourg lors du dépôt de la demande litigieuse – par un assuré directement touché par la décision attaquée et dûment représenté, le recours est recevable.</w:t>
      </w:r>
    </w:p>
    <w:p>
      <w:r>
        <w:t>Tribunal cantonal TC Page 4 de 16</w:t>
      </w:r>
    </w:p>
    <w:p>
      <w:r>
        <w:rPr>
          <w:b/>
        </w:rPr>
        <w:t>E. 2</w:t>
      </w:r>
    </w:p>
    <w:p>
      <w:r>
        <w:t>Droit applicable Dans le cadre du développement continu de l'AI, la loi du 19 juin 1959 sur l'assurance invalidité (LAI; RS 831.20), le règlement du 17 janvier 1961 sur l’assurance-invalidité (RAI; RS 831.201) et la loi du</w:t>
      </w:r>
    </w:p>
    <w:p>
      <w:r>
        <w:rPr>
          <w:b/>
        </w:rPr>
        <w:t>E. 2.1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la demande originaire de rente ayant été déposée au mois de mars 2018. 3. Invalidité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3.1. Cette incapacité de gain résulte, selon l'art. 7 LPGA, d'une atteinte à la santé physique ou mentale. 3.2. En vertu de l'art. 7 al. 2 LPGA, les facteurs extra-médicaux (p.ex. des facteurs psychosociaux et socioculturels) ne constituent en revanche pas des atteintes à la santé entraînant une incapacité de gain. Pour qu'une invalidité soit reconnue, il est nécessaire qu'un substrat médical pertinent entrave la capacité de travail (et de gain) de manière importante et soit à chaque fois mis en évidence</w:t>
      </w:r>
    </w:p>
    <w:p>
      <w:r>
        <w:t>Tribunal cantonal TC Page 5 de 16 par un médecin spécialisé. Plus les facteurs extra-médicaux apparaissent au premier plan et imprègnent l'anamnèse, plus le diagnostic médical doit préciser si l'atteinte à la santé équivaut à une maladie. Il ne suffit donc pas que le tableau clinique soit constitué d'atteintes relevant de facteurs socioculturels ;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Tribunal fédéral, arrêt non publié [I 797/06] du 21 août 2007 consid. 4). 3.3. Ce n'est , cela étant, pas l'atteinte à la santé en soi qui est assurée, ce sont bien plutôt les conséquences économiques de celle-ci (ATF 127 V 294). 4. Covid long Le virus SARS-CoV-2, généralement appelé « Covid », engendre chez certains patients des séquelles qui peuvent durer longtemps après la fin de la convalescence typique. Ce phénomène est connu sous le nom de « affection post-COVID 19 » ou « Covid long ». La symptomatologie du Covid long est des plus variée. Les principaux symptômes d’une affection sont la fatigue excessive, l'épuisement et l'intolérance à l’effort, le souffle court et les difficultés respiratoires et les problèmes de mémoire et de concentration. D’autres symptômes peuvent également se manifester. En général, la recherche n'a pas encore assez de données pour comprendre de manière satisfaisante ce phénomène. La question de savoir comment la pratique judiciaire doit appréhender cette maladie nouvelle n'a pas encore été complètement investiguée. À l'instar de la recherche médicale sur le syndrome en tant que tel, la pratique judiciaire n'a pas encore assez de casuistique pour tirer des conclusions d'ordre général. Plusieurs auteurs ont toutefois constaté qu'il serait raisonnable de traiter au moins la partie non somatique du Covid long de manière similaire aux maladies psychiques, étant donné la difficulté à établir des liens de causalité adéquate (EGLI, KRADOLFER, VOKINGER, Long Covid, RSAS pp. 176 et 182-183 ; DUPONT, État de droit et état d’urgence : perspectives sous l’angle du droit des assurances, 2023, SJ 2023 p. 345). 5. Droit à la rente – calcul du taux d'incapacité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w:t>
      </w:r>
    </w:p>
    <w:p>
      <w:r>
        <w:t>Tribunal cantonal TC Page 6 de 16 5.1.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5.2.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lV n°1 p. 1; I 11/00 du22 août 2001 consid. 5a/bb, in VSI 2001 p.274).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(arrêt 9C_578/2009 du 29 décembre 2009 consid. 4.2.3.; ATF 113 v 22 consid. 4d p. 32; Marc HÜRZELER, Prävention im Haftpflicht- und sozialversicherungsrecht, in Prävention im Recht, 2007, p. 172 ss.).</w:t>
      </w:r>
    </w:p>
    <w:p>
      <w:r>
        <w:t>Tribunal cantonal TC Page 7 de 16</w:t>
      </w:r>
    </w:p>
    <w:p>
      <w:r>
        <w:rPr>
          <w:b/>
        </w:rPr>
        <w:t>E. 6</w:t>
      </w:r>
    </w:p>
    <w:p>
      <w:r>
        <w:t>Rentes dégressives ou limitées dans le temps 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w:t>
      </w:r>
    </w:p>
    <w:p>
      <w:r>
        <w:rPr>
          <w:b/>
        </w:rPr>
        <w:t>E. 6.1</w:t>
      </w:r>
    </w:p>
    <w:p>
      <w:r>
        <w:t>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6.2</w:t>
      </w:r>
    </w:p>
    <w:p>
      <w:r>
        <w:t>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7</w:t>
      </w:r>
    </w:p>
    <w:p>
      <w:r>
        <w:t>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7.1</w:t>
      </w:r>
    </w:p>
    <w:p>
      <w:r>
        <w:t>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t>Tribunal cantonal TC Page 8 de 16</w:t>
      </w:r>
    </w:p>
    <w:p>
      <w:r>
        <w:rPr>
          <w:b/>
        </w:rPr>
        <w:t>E. 7.2</w:t>
      </w:r>
    </w:p>
    <w:p>
      <w:r>
        <w:t>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w:t>
      </w:r>
    </w:p>
    <w:p>
      <w:r>
        <w:rPr>
          <w:b/>
        </w:rPr>
        <w:t>E. 7.3</w:t>
      </w:r>
    </w:p>
    <w:p>
      <w:r>
        <w:t>Au demeurant, l’élément déterminant pour la valeur probante n’est ni l’origine du moyen de preuve ni sa désignation comme rapport ou expertise, mais bel et bien son contenu (arrêt TF 9C_745/2010 du 30 mars 2011 ; ATF 125 V 351). La durée d’un examen n’est pas un critère permettant en soi de juger de la valeur d’un rapport médical (arrêts TF 9C_382/2008 du 22 juillet 2008 ; 9C_514/2011 du 26 avril 2012). La question de savoir si l’expertise est complète et convaincante dans son résultat est en première ligne déterminante (arrêt TF 9C_55/2009 du 1er avril 2009 consid. 3.3 et les références citées).</w:t>
      </w:r>
    </w:p>
    <w:p>
      <w:r>
        <w:rPr>
          <w:b/>
        </w:rPr>
        <w:t>E. 7.4</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7.5</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8</w:t>
      </w:r>
    </w:p>
    <w:p>
      <w:r>
        <w:t>Objet du litige Est en l’espèce uniquement litigieux le droit à la rente à partir du 1er septembre 2021 (l’OAI admettant en cours de procédure avoir omis de tenir compte d’une période de trois mois de stabilisation de l’amélioration de l’état de santé [cf. dans ce sens art. 88bis al. 2 RAI]). Le recourant soutient pour l'essentiel que son incapacité de travail est encore totale, a fortiori donc après cette dernière date. Il conteste en particulier la valeur probante du volet psychiatrique de l'expertise bi-disciplinaire du 23 septembre 2021.</w:t>
      </w:r>
    </w:p>
    <w:p>
      <w:r>
        <w:t>Tribunal cantonal TC Page 9 de 16 Le recourant fait également référence à la « kyrielle » de certificats médicaux qui n'auraient pas été pris en compte par l'expert et qui montreraient un état de santé plus grave que celui dont fait état le rapport d'expertise. De surcroît, à partir de juillet 2020 il est atteint du Covid long. Ce syndrome aurait une influence notable sur son état de santé et sur son incapacité de travail. Pour ces raisons, le recourant conclut, principalement, à l'octroi d'une rente AI qui ne soit pas limitée dans le temps, subsidiairement, à l'établissement d'une nouvelle expertise bi-disciplinaire avec un volet psychiatrique et un volet de médecine interne afin de compléter l'instruction du dossier. Selon l'OAI, l'expertise aurait été menée selon le droit et les règles de l'art. Le recourant ne mettrait pas en évidence de nouveaux éléments objectivement vérifiables qui auraient été ignorés auparavant et qui seraient suffisamment pertinents pour remettre en cause la décision attaquée. Qu’en est-il ? Première demande de rente</w:t>
      </w:r>
    </w:p>
    <w:p>
      <w:r>
        <w:rPr>
          <w:b/>
        </w:rPr>
        <w:t>E. 8.1</w:t>
      </w:r>
    </w:p>
    <w:p>
      <w:r>
        <w:t>A.________ souffre d'un TDAH qui a été diagnostiqué la première fois en 2019. Il a travaillé chez D.________ jusqu'à son burnout en 2016. Depuis lors, il est entré dans une période très sombre, marquée par les dépendances (dont en particulier une grave dépendance, iatrogène, aux benzodiazépines) et l'empirement de sa condition psychique. Depuis lors, les médecins traitants et les thérapies se sont enchainés. Le 30 août 2016 il a requis l'octroi d'une rente. Par décision du 2 juin 2017, l'OAI a rejeté la demande en raison d'une incapacité de travail insuffisamment longue. Cette décision est entrée en force. Nouvelle demande de rente, litigieuse</w:t>
      </w:r>
    </w:p>
    <w:p>
      <w:r>
        <w:rPr>
          <w:b/>
        </w:rPr>
        <w:t>E. 8.2</w:t>
      </w:r>
    </w:p>
    <w:p>
      <w:r>
        <w:t>Le 22 février 2018 le recourant a déposé une deuxième demande de prestations AI en invoquant une dégradation importante de son état de santé, à cause de ses problèmes psychiques et de nouveaux problèmes de dos. Dans le cadre de l'instruction du dossier, l'OAI a diligenté une expertise bi-disciplinaire avec la Dre F.________, experte en psychiatrie, et le Dr G.________, expert en rhumatologie. Pour ce qui concerne le volet psychiatrique, l'experte a posé le diagnostic de "Perturbation de l'activité et de l'attention" (TDHA), de "Trouble panique" et de "Troubles mentaux et du comportement liés à l'utilisation de sédatifs et d'hypnotiques, syndrome de dépendance, utilisation continue". Elle a également mis en évidence l'existence de troubles mentaux et du comportement liés à l'utilisation d'alcool, sans précision, et d'une ancienne dépendance au cannabis, substance dont le recourant est à l'heure actuelle abstinent.</w:t>
      </w:r>
    </w:p>
    <w:p>
      <w:r>
        <w:t>Tribunal cantonal TC Page 10 de 16 Selon la Dre F.________, à partir du mois de juin 2021, la capacité de travail globale du recourant est de 100%, avec une diminution de la performance de 20% due à la dépendance aux benzodiazépines. Selon elle, une prise en charge psychiatrique et psychothérapeutique (avec traitement antidépresseur), combinée au sevrage de benzodiazépines et hypnotiques, permettrait de retrouver une capacité de 100% sans diminution du rendement. Quant au volet rhumatologique, le Dr G.________ retient le diagnostic de "Rachialgies diffuses avec cervico-dorsalgies chroniques". Son évaluation de la capacité de travail est également de 100%, sans diminution du rendement, et cela, dès le départ. Il faudrait pourtant que l'activité exercée soit adaptée. Les limitations fonctionnelles retenues sont : pas de port de poids supérieur à 10kg, pas d'activités en position défavorable et pas de penchements répétitifs.</w:t>
      </w:r>
    </w:p>
    <w:p>
      <w:r>
        <w:rPr>
          <w:b/>
        </w:rPr>
        <w:t>E. 9</w:t>
      </w:r>
    </w:p>
    <w:p>
      <w:r>
        <w:t>Discussion</w:t>
      </w:r>
    </w:p>
    <w:p>
      <w:r>
        <w:rPr>
          <w:b/>
        </w:rPr>
        <w:t>E. 9.1</w:t>
      </w:r>
    </w:p>
    <w:p>
      <w:r>
        <w:t>Valeur probante de l'expertise Le recourant soutient de manière laconique que le volet psychiatrique de l'expertise serait à considérer « avec des pincettes ». Il remarque en particulier que l'incapacité de travail à raison de 100% se termine le 15 avril 2021, jour même de la visite chez les experts. En effet, à partir de cette date et jusqu'au 1er septembre 2021, son incapacité de travail passe à 50% et ensuite à 0%.</w:t>
      </w:r>
    </w:p>
    <w:p>
      <w:r>
        <w:rPr>
          <w:b/>
        </w:rPr>
        <w:t>E. 9.1.1</w:t>
      </w:r>
    </w:p>
    <w:p>
      <w:r>
        <w:t>Il sied de supposer que l'argument du recourant consiste dans la contestation de l’impartialité de l'experte. En effet, après avoir consulté l'ancienne psychiatre du recourant, la Dre H.________, l'experte est arrivée à la conclusion que ce dernier « manipule les faits, omettant certains ou mettant en avant d'autres, de façon à obtenir des bénéfices secondaires » (expertise, p. 40 ; dossier AI, p. 470). Cette affirmation ne saurait suffire à remettre en cause la neutralité de l'expertise, qui s'est déroulée selon les règles de l'art et qui explique de manière détaillée la situation du recourant. Il est tout à fait légitime, voire même précisément attendu, de la part de l'experte qu’elle appréhende les déclarations de l'assuré avec recul, surtout lorsque ces dernières sont en contradiction apparente avec les avis des médecins traitants, dont on peut partir du principe, avec la jurisprudence, qu’ils soient plus enclins à se prononcer dans un sens favorable à leur patient.</w:t>
      </w:r>
    </w:p>
    <w:p>
      <w:r>
        <w:rPr>
          <w:b/>
        </w:rPr>
        <w:t>E. 9.1.2</w:t>
      </w:r>
    </w:p>
    <w:p>
      <w:r>
        <w:t>L’on se trouve, quoi qu’il en soit, en présence d'une conviction d'invalidité de longue durée qui n'est pas corroborée dans les faits. Le recours paraît, en tous les cas, peu disposé à se soigner sérieusement. Ceci est attesté au moins dans son parcours thérapeutique avec la Dre I.________ et avec la Dre H.________. Il a entamé un traitement auprès de la première, qui lui a délivré un certificat d'invalidité de travail et, dès que cette dernière a estimé qu'il était apte à reprendre une activité lucrative, il a changé de médecin. Cet épisode donne à penser que le recourant voit en la médecine un moyen d’obtenir une rente AI bien plus que de l'aider à obtenir une amélioration de son état de santé. Une considération similaire s'impose par rapport à la question du sevrage. En effet, dans son opposition au projet de décision du 5 janvier 2022, le recourant soutient qu'il est impossible de le sevrer à la benzodiazépine. Il soutient également que, étant « ultra-métaboliseur », cette dépendance ne serait pas problématique.</w:t>
      </w:r>
    </w:p>
    <w:p>
      <w:r>
        <w:t>Tribunal cantonal TC Page 11 de 16 Le recourant paraît ainsi vouloir décider à l'avance de l'issue de tout traitement et douter, de manière irrationnellement pessimiste, de tout essai thérapeutique. Ces éléments correspondent parfaitement avec les considérations de l'experte, qui remarque que « même maintenant qu’il en a subi les effets délétères (tolérance, sevrage, complications judiciaires), il préfère gérer ses angoisses avec des benzodiazépines et hypnotiques, quitte à faire perdurer un syndrome de dépendance, plutôt que d’adhérer à un traitement médicamenteux non addictif (antidépresseur à doses efficaces. Les benzodiazépines, et l’alcool aussi, font un effet plus rapide, plus puissant, satisfaisant le besoin de sensations fortes souvent rencontré chez les personnes souffrant de TDAH) » (expertise, p. 36). En conclusion, on peut penser que l’assuré est en recherche d’une rente à laquelle il estime avoir droit. Ainsi, lorsqu'il s'agit d'essayer d'améliorer sa condition médico-existentielle, il semble toujours s’arranger pour trouver un nouvel obstacle lui permettant de se conforter dans son statut d’invalide. Une telle attitude ne saurait avoir pour effet d’engager la responsabilité de l’assurance-invalidité, sinon au préjudice des autres assurés. L'experte a, à ce titre, très vraisemblablement posé le bon constat, à savoir celui de la non- compliance du recourant au traitement et de sa conviction d'invalidité de longue durée. Au demeurant, l'expertise est objectivement claire, et solidement documentée. Et, comme il a été dit, sa partialité ne saurait se déduire du simple fait qu'elle soulève le caractère manipulateur du recourant.</w:t>
      </w:r>
    </w:p>
    <w:p>
      <w:r>
        <w:rPr>
          <w:b/>
        </w:rPr>
        <w:t>E. 9.1.3</w:t>
      </w:r>
    </w:p>
    <w:p>
      <w:r>
        <w:t>Ce dernier se plaint également du fait qu'un grand nombre de certificats médicaux produits par son psychiatre traitant actuel, le Dr E.________, n'auraient pas été pris en compte par l'autorité intimée. Il est vrai que le Dr E.________ a prolongé l'attestation d’incapacité de travail du recourant à plusieurs reprises. Parmi ces certificats, seul celui du 29 mars 2022 argumente les raisons d’une telle incapacité. Le Dr E.________ explique que, à son avis, « l'obstacle majeur, rencontré au décours de la thérapie réside aux réponses très peu satisfaisantes aux divers psychotropes. Les différentes classes thérapeutiques d'anxiolytiques et d'antidépresseurs n'ont malheureusement induit que peu d'effet thérapeutique et de multiples effets secondaires amenant à chaque fois à l'arrêt du traitement » (dossier AI, p. 583). Cet élément pourrait tout au plus contredire l'exigibilité d'une thérapie visant à éliminer la baisse de rendement de 20%. Cependant, cet avis ne saurait primer, au degré de la vraisemblance prépondérante, sur les avis contraires de l'experte psychiatre et de la Dre H.________, ancienne psychiatre traitante, qui, en ayant déjà essayé de sevrer le recourant pour limiter les effets secondaires d’une médication non- indiquée, devait forcément croire à un issu positif d’un tel sevrage. Pour ce qui concerne l'état de santé, au contraire, le Dr E.________ se limite à dire que « depuis le début de la prise en charge, le patient présente des difficultés de concentration et d'attention, on assiste également à une baisse de l'humeur, des troubles du sommeil, une asthénie et une anxiété marquée ». Cet état de fait le porte à conclure que « les troubles persistants, malgré la psychothérapie et les médicaments prescrits à doses conséquentes, ont induit une incapacité totale</w:t>
      </w:r>
    </w:p>
    <w:p>
      <w:r>
        <w:t>Tribunal cantonal TC Page 12 de 16 de travail pour une durée indéterminée. Le pronostic de réhabilitation demeure, ainsi, réservé » (dossier AI, p. 583). La symptomatologie décrite par le psychiatre traitant est visiblement identique à celle dont fait état l'expertise. La différence réside uniquement dans les conclusions sur la capacité de travail, inexistante selon le Dr E.________ et entière selon l'experte. Le médecin traitant n'expliquant pas en quoi cet état de fait médical causerait une telle invalidité, il sied de retenir les conclusions de l’expertise, mieux documentées sur ce point.</w:t>
      </w:r>
    </w:p>
    <w:p>
      <w:r>
        <w:rPr>
          <w:b/>
        </w:rPr>
        <w:t>E. 9.2</w:t>
      </w:r>
    </w:p>
    <w:p>
      <w:r>
        <w:t>Covid long Le recourant soutient par ailleurs que l'autorité intimée n'aurait pas tenu suffisamment compte de son Covid long. Il déclare souffrir de tous les symptômes de cette maladie. Or, en l'espèce, force est de constater que les symptômes du Covid long se recoupent avec l'état de santé pré-pandémique du recourant. L'épuisement, l'intolérance à l'effort et les problèmes respiratoires peuvent être facilement mis en lien avec son train de vie marqué par les dépendances. L'information la plus récente sur la consommation de cigarettes est le rapport de consultation du Dr J.________ du 27 janvier 2020 (dossier AI, p. 324). À cette occasion, le recourant déclara fumer 2-3 paquets par jour, soit une moyenne de 50 cigarettes. Pendant plusieurs années, sa moyenne était même de 4 à 5 paquets par jour. Une telle consommation de cigarettes est apte à engendrer, à l'instar du Covid long, un épuisement, une intolérance à l'effort et une difficulté respiratoire. Pour le surplus, il serait paradoxal d'imputer les problèmes de mémoire et de concentration au Covid long, étant donné le diagnostic, en 2019, de TDAH. En effet, il s'agit de symptômes typiques de cette maladie. Il serait déraisonnable de croire que leur cause puisse résider dans les séquelles du Covid, alors qu'un lien avec une atteinte anciennement diagnostiquée a déjà été fait. La thèse du Covid long à l’origine des symptômes indiqués n’est à tout le moins pas établie au degré de la vraisemblance prépondérante. Quoi qu’il en soit, cette thèse d’une autre origine des symptômes ne saurait avoir pour effet de remettre en cause les conclusions des experts sur le caractère non invalidant desdits symptômes. Dans toutes ces conditions, et vu tout particulièrement sa conviction d’être invalide et son refus de suivre les recommandations des anciens médecins traitant, il ne se justifie pas d’accéder à la demande subsidiaire du recourant d’être soumis à une nouvelle expertise.</w:t>
      </w:r>
    </w:p>
    <w:p>
      <w:r>
        <w:rPr>
          <w:b/>
        </w:rPr>
        <w:t>E. 10</w:t>
      </w:r>
    </w:p>
    <w:p>
      <w:r>
        <w:t>Sort du recours Au vu de ce qui précède, le recours est très partiellement admis, l’OAI ayant reconnu que le droit à la rente ne pouvait être supprimé qu’à partir du 1er septembre 2021, et non à partir déjà du 1er juin 2021.</w:t>
      </w:r>
    </w:p>
    <w:p>
      <w:r>
        <w:rPr>
          <w:b/>
        </w:rPr>
        <w:t>E. 10.1</w:t>
      </w:r>
    </w:p>
    <w:p>
      <w:r>
        <w:t>La décision querellée est, partant, modifiée dans le sens de ce qui précède.</w:t>
      </w:r>
    </w:p>
    <w:p>
      <w:r>
        <w:t>Tribunal cantonal TC Page 13 de 16</w:t>
      </w:r>
    </w:p>
    <w:p>
      <w:r>
        <w:rPr>
          <w:b/>
        </w:rPr>
        <w:t>E. 10.2</w:t>
      </w:r>
    </w:p>
    <w:p>
      <w:r>
        <w:t>Pour le surplus, elle est intégralement confirmée, notamment pour ce qui a trait aux périodes de reconnaissance d’un droit, à titre rétroactif, cet aspect de la décision n’ayant pas été contesté. La Cour relève, à cet égard, que l’OAI a semblé se prononcer à nouveau sur une période censée couverte par une précédente décision de refus rendue à l’époque. Elle a en effet une nouvelle fois confirmé son refus d’allouer une rente entre le mois de juin 2016 et le mois de février 2017. Elle indiquait, cela étant, uniquement se référer à son premier refus de rente, entré en force. Dès lors, cette question ne saurait être examinée par la Cour de céans. D’autant moins que le recourant n’avait pas recouru à l’époque contre ce premier refus, qu’il ne conteste pas davantage aujourd’hui, demandant essentiellement la non-limitation de sa rente dans le temps.</w:t>
      </w:r>
    </w:p>
    <w:p>
      <w:r>
        <w:rPr>
          <w:b/>
        </w:rPr>
        <w:t>E. 11</w:t>
      </w:r>
    </w:p>
    <w:p>
      <w:r>
        <w:t>Frais de justice et indemnité de partie Les frais de justice et l’indemnité de partie tiendront compte de la très partielle admission du recours.</w:t>
      </w:r>
    </w:p>
    <w:p>
      <w:r>
        <w:rPr>
          <w:b/>
        </w:rPr>
        <w:t>E. 11.1</w:t>
      </w:r>
    </w:p>
    <w:p>
      <w:r>
        <w:t>La procédure n’étant pas gratuite, des frais de justice de CHF 650.- sont mis à la charge du recourant qui succombe largement. De son côté, l’OAI prendra à sa charge les CHF 150.- restant. Toutefois, dans la mesure où l’assistance judiciaire va encore lui être octroyée, ces frais de justice ne seront pas réclamés au recourant.</w:t>
      </w:r>
    </w:p>
    <w:p>
      <w:r>
        <w:rPr>
          <w:b/>
        </w:rPr>
        <w:t>E. 11.2</w:t>
      </w:r>
    </w:p>
    <w:p>
      <w:r>
        <w:t>Concernant l’admission très partielle, le recourant a droit à une première couverture de ses dépens, qui sera mise à la charge de l’OAI. Celle-ci est forfaitairement fixée à CHF 300.-, débours compris. A quoi s’ajoute une TVA de 7,7%, pour un montant de CHF 23.10. Au final, c’est une première indemnité de CHF 323.10 qui est allouée. Elle est mise à la charge de l’OAI.</w:t>
      </w:r>
    </w:p>
    <w:p>
      <w:r>
        <w:rPr>
          <w:b/>
        </w:rPr>
        <w:t>E. 12</w:t>
      </w:r>
    </w:p>
    <w:p>
      <w:r>
        <w:t>Assistance judiciaire Il reste, pour la part des dépens non couverte, à statuer sur la requête d’assistance judicaire totale formulée dans le cadre du recours et motivée le 19 janvier 2023.</w:t>
      </w:r>
    </w:p>
    <w:p>
      <w:r>
        <w:rPr>
          <w:b/>
        </w:rPr>
        <w:t>E. 12.1</w:t>
      </w:r>
    </w:p>
    <w:p>
      <w:r>
        <w:t>A teneur de l’art. 61 let. f LPGA, le droit de se faire assister par un conseil doit être garanti et, lorsque les circonstances le justifient, l'assistance judiciaire gratuite doit être accordée au recourant.</w:t>
      </w:r>
    </w:p>
    <w:p>
      <w:r>
        <w:t>Tribunal cantonal TC Page 14 de 16 Selon l'art. 142 du code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w:t>
      </w:r>
    </w:p>
    <w:p>
      <w:r>
        <w:rPr>
          <w:b/>
        </w:rPr>
        <w:t>E. 12.2</w:t>
      </w:r>
    </w:p>
    <w:p>
      <w:r>
        <w:t>En l’espèce, il ressort des pièces justificatives que le recourant bénéficie de l'aide sociale et que sa femme nécessite des prestations complémentaires de la part de l'assurance-invalidité. Partant, il appert que les revenus du couple sont manifestement insuffisants pour permettre à la famille de faire face aux frais de la présence procédure sans s'exposer à la privation des choses nécessaires de l’existence, de sorte que la condition de l’indigence est établie. L’admission très partielle du recours tend pour sa part à démontrer que celui-ci n’était pas entièrement dénué de chances de succès. Enfin, la désignation d’un défenseur d’office se justifie en l’espèce dans la mesure où la cause n’est pas exempte de toute difficulté. Dans ces circonstances, il convient de mettre le recourant au bénéfice de l’assistance judiciaire totale dans le cadre de la procédure de recours et de lui désigner Me Benoît Sansonnens, avocat à Fribourg, comme défenseur d’office.</w:t>
      </w:r>
    </w:p>
    <w:p>
      <w:r>
        <w:rPr>
          <w:b/>
        </w:rPr>
        <w:t>E. 12.3</w:t>
      </w:r>
    </w:p>
    <w:p>
      <w:r>
        <w:t>La liste de frais déposée par Me Sansonnens le 13 mars 2023 fait état d’un montant total de CHF 4'327.81, TVA 7.7% incluse (CHF 3'983.35 à titre d’honoraires pour 15 heures et 56 minutes de travail, facturées au tarif horaire de CHF 250.-, plus CHF 35.- de débours, plus CHF 309.45 de TVA). L’on constate tout d’abord que le tarif horaire de 250.- doit être baissé à 180.- en vertu de l'art. 12 de l'arrêté du Conseil d'Etat du Tarif des frais de procédure et des indemnités en matière de juridiction administrative (Tarif JA) du 17.12.1991. Par ailleurs, il s’avère que 6 heures de travail ont été comptabilisées pour la rédaction du recours, pour un mémoire de 7 pages et pour une requête d'assistance judiciaire de 4 pages. Au vu de la question litigieuse en l’espèce, qui se résume à l’examen de la force probante de l'expertise psychiatrique et au rôle éventuel du Covid long dans le cas d'espèce, qui plus est dans un domaine juridique régi par les maximes d’office et inquisitoire, il semble qu’une telle durée soit quelque peu excessive. Cela d'autant plus que le défenseur a déjà dédié 5 heures et 30 minutes à l'étude du dossier. En effet, il sied de constater que, étant donné les circonstances, le temps nécessaire à l'écriture du mémoire de recours n'aurait pas dû représenter autant d’heures de travail. Dans ces conditions, on retiendra que l’ensemble du travail requis dans ce dossier n’aurait pas dû représenter plus de 12 heures de travail, en plus du temps déjà indemnisé au titre de dépens.</w:t>
      </w:r>
    </w:p>
    <w:p>
      <w:r>
        <w:t>Tribunal cantonal TC Page 15 de 16 Partant, il convient de s’écarter de la liste de frais produite et de fixer ex aequo et bono l’équitable indemnité du défenseur désigné à CHF 2'195.-, débours compris (12 heures x CHF 180.-/heure + CHF 35.-), plus CHF 169.- au titre de la TVA (7.7%), soit un second total de CHF 2'364.-. Un tel montant semble adéquat afin de tenir compte du travail strictement nécessaire à effectuer dans ce type d’affaire, dans le cadre, on le rappelle, d’une procédure soumise à la maxime d’office. Cette seconde indemnité est intégralement mise à la charge de l’Etat de Fribourg et sera versée directement à Me Benoît Sansonnens. la Cour arrête : I. Le recours est très partiellement admis (605 2023 10). Partant, la décision est modifiée dans le sens où la suppression de la rente limitée dans le temps prend effet au 1er septembre 2021 et non au 1er juin 2021. II. Les frais de justice sont mis à la charge : a. du recourant, par CHF 650.-; b. de l’OAI, par CHF 150.-. Vu l’assistance judiciaire octroyée, les frais de justice ne sont pas réclamés au recourant. III. Une première indemnité de partie de CHF 323.10 (débours et TVA de CHF 23.10 compris) est allouée au recourant. Elle est prise en charge par l’OAI. IV. L’assistance judiciaire gratuite est accordée (605 2023 11). Me Benoît Sansonnens est désigné défenseur d’office. V. Une seconde indemnité de CHF 2'364.- (débours et TVA de CHF 169.- compris) est allouée à Me Benoît Sansonnens. Elle est intégralement mise à la charge de l’Etat.</w:t>
      </w:r>
    </w:p>
    <w:p>
      <w:r>
        <w:t>Tribunal cantonal TC Page 16 de 16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2023/mbo-fmo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