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83 vom 21. November 2022</w:t>
      </w:r>
    </w:p>
    <w:p>
      <w:r>
        <w:t>FR Kantonsgericht, 2022-11-21, FR</w:t>
      </w:r>
    </w:p>
    <w:p>
      <w:r>
        <w:rPr>
          <w:b/>
        </w:rPr>
        <w:t xml:space="preserve">Quelle: </w:t>
      </w:r>
      <w:r>
        <w:t>https://mcp.opencaselaw.ch/entscheid/fr_gerichte_605_2022_83</w:t>
      </w:r>
    </w:p>
    <w:p>
      <w:r>
        <w:t>FR: FR_GERICHTE 605 2022 83 du 21 novembre 2022</w:t>
      </w:r>
    </w:p>
    <w:p>
      <w:r>
        <w:t>IT: FR_GERICHTE 605 2022 83 del 21 novembre 2022</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Interjeté en temps utile et dans les formes légales auprès de l'autorité judiciaire compétente par un assuré directement touché par la décision sur opposition attaquée et dûment représenté, le recours est recevable.</w:t>
      </w:r>
    </w:p>
    <w:p>
      <w:r>
        <w:rPr>
          <w:b/>
        </w:rPr>
        <w:t>E. 2</w:t>
      </w:r>
    </w:p>
    <w:p>
      <w:r>
        <w:t>Dispositions relatives au droit à la rente En vertu de l'art. 6 al. 1 de la loi du 20 mars 1981 sur l'assurance-accidents (LAA ; RS 832.20), les prestations d'assurance sont allouées en cas d'accident professionnel, d'accident non professionnel et de maladie professionnelle.</w:t>
      </w:r>
    </w:p>
    <w:p>
      <w:r>
        <w:rPr>
          <w:b/>
        </w:rPr>
        <w:t>E. 2.1</w:t>
      </w:r>
    </w:p>
    <w:p>
      <w:r>
        <w:t>Selon l'art. 18 al. 1 LAA, si l'assuré est invalide à 10% au moins par suite d'un accident, il a droit à une rente d'invalidité. Est réputée invalidité l'incapacité de gain totale ou partielle qui est présumée permanente ou de longue durée (art. 8 de la loi fédérale du 6 octobre 2000 sur la partie générale du droit des assurances sociales [LPGA ; RS 830.1]). Il découle de cette notion d'invalidité que ce n'est pas l'atteinte à la santé en soi qui est assurée ; ce sont bien plutôt les conséquences économiques de celle-ci, c'est-à-dire une incapacité de gain qui sera probablement permanente ou du moins de longue durée (ATF 127 V 294).</w:t>
      </w:r>
    </w:p>
    <w:p>
      <w:r>
        <w:rPr>
          <w:b/>
        </w:rPr>
        <w:t>E. 2.2</w:t>
      </w:r>
    </w:p>
    <w:p>
      <w:r>
        <w:t>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Tribunal cantonal TC Page 4 de 12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 114 V 310). L'appréciation de la question de l'exigibilité donnée par le médecin permet de déterminer les activités qui entrent encore en considération pour l'assuré malgré les limitations dues à l'accident.</w:t>
      </w:r>
    </w:p>
    <w:p>
      <w:r>
        <w:rPr>
          <w:b/>
        </w:rPr>
        <w:t>E. 2.3</w:t>
      </w:r>
    </w:p>
    <w:p>
      <w:r>
        <w:t>En règle générale, le revenu hypothétique de la personne valide se détermine en établissant au degré de la vraisemblance prépondérante ce qu'elle aurait effectivement pu réaliser au moment déterminant si elle était en bonne santé. Le revenu de valide (ou :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129 V 222 consid. 4.3.1 et la référence citée).</w:t>
      </w:r>
    </w:p>
    <w:p>
      <w:r>
        <w:rPr>
          <w:b/>
        </w:rPr>
        <w:t>E. 2.4</w:t>
      </w:r>
    </w:p>
    <w:p>
      <w:r>
        <w:t>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2015, § 286 p. 421).</w:t>
      </w:r>
    </w:p>
    <w:p>
      <w:r>
        <w:rPr>
          <w:b/>
        </w:rPr>
        <w:t>E. 2.4.1</w:t>
      </w:r>
    </w:p>
    <w:p>
      <w:r>
        <w:t>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(ci-après : l'OFS).</w:t>
      </w:r>
    </w:p>
    <w:p>
      <w:r>
        <w:rPr>
          <w:b/>
        </w:rPr>
        <w:t>E. 2.4.2</w:t>
      </w:r>
    </w:p>
    <w:p>
      <w:r>
        <w:t>Selon la jurisprudence, lorsque le revenu d'invalide est évalué sur la base des données de l'Office fédéral de la statistique, certains empêchements propres à la personne de l'invalide exigent que l'on réduise le montant des salaires ressortant des statistiques. De telles déductions ne doivent pas être effectuées de manière schématique, mais tenir compte de l'ensemble des circonstances du cas particulier, et cela dans le but de déterminer un revenu d'invalide qui représente au mieux la mise en valeur économique exigible des activités compatibles avec la capacité de travail résiduelle de l'intéressé. Cette déduction doit être opérée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 cet effet,</w:t>
      </w:r>
    </w:p>
    <w:p>
      <w:r>
        <w:t>Tribunal cantonal TC Page 5 de 12 l'administration jouit d'un large pouvoir d'appréciation et le juge ne peut s'en écarter et y substituer son appréciation sans motif pertinent (cf. arrêt TF I 724/2002 du 10 janvier 2003 ; ATF 126 V 75). D’autre part, les critères d'abattement ne sauraient être utilisés à plusieurs reprises. Ainsi, lorsqu'une baisse de rendement en raison des limitations fonctionnelles de l'assuré est médicalement reconnue lors de la fixation de son revenu d'invalide, ce dernier ne peut, sous l'angle du taux d'abattement, se voir une nouvelle fois diminuer pour cette même raison (arrêt TF 8C_490/2011 du 11 janvier 2012 consid. 4.2). Enfin, on ne peut procéder à une déduction globale supérieure à 25% (ATF 126 V 75 consid. 5b/aa-cc ; arrêts TF 9C_963/2008 du 27 mai 2009 consid. 3.2 et I 724/2002 du 10 janvier 2003 consid. 4.2).</w:t>
      </w:r>
    </w:p>
    <w:p>
      <w:r>
        <w:rPr>
          <w:b/>
        </w:rPr>
        <w:t>E. 3</w:t>
      </w:r>
    </w:p>
    <w:p>
      <w:r>
        <w:t>Dispositions relatives au droit à l'indemnité pour atteinte à l'intégrité</w:t>
      </w:r>
    </w:p>
    <w:p>
      <w:r>
        <w:rPr>
          <w:b/>
        </w:rPr>
        <w:t>E. 3.1</w:t>
      </w:r>
    </w:p>
    <w:p>
      <w:r>
        <w:t>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de l'ordonnance du 20 décembre 1982 sur l'assurance- accidents [OLAA; RS 832.202]). L'IPAI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 citées).</w:t>
      </w:r>
    </w:p>
    <w:p>
      <w:r>
        <w:rPr>
          <w:b/>
        </w:rPr>
        <w:t>E. 3.2</w:t>
      </w:r>
    </w:p>
    <w:p>
      <w:r>
        <w:t>et 3.3). Aussi n'existe-t-il pas, en droit des assurances sociales, un principe selon lequel l'administration ou le juge devrait statuer, dans le doute, en faveur de l'assuré (ATF 126 V 322 consid. 5a).</w:t>
      </w:r>
    </w:p>
    <w:p>
      <w:r>
        <w:rPr>
          <w:b/>
        </w:rPr>
        <w:t>E. 3.2.1</w:t>
      </w:r>
    </w:p>
    <w:p>
      <w:r>
        <w:t>Dans ce cadre, la division médicale de la SUVA a établi des tables complémentaires d'indemnisation des atteintes à l'intégrité selon la LAA. Ces tables, qui ne constituent pas des règles de droit mais de simples indications ne liant pas le juge, sont compatibles avec l'annexe 3 à l'OLAA dans la mesure où il s'agit de valeurs indicatives, destinées à assurer autant que faire se peut</w:t>
      </w:r>
    </w:p>
    <w:p>
      <w:r>
        <w:t>Tribunal cantonal TC Page 6 de 12 l'égalité de traitement entre les assurés (arrêt TF 8C_459/2008 du 4 février 2009; ATF 124 V 209 consid. 4a/cc, 116 V 156 consid. 3a; RAMA 1998 p. 235, U 245/96 consid. 2a).</w:t>
      </w:r>
    </w:p>
    <w:p>
      <w:r>
        <w:rPr>
          <w:b/>
        </w:rPr>
        <w:t>E. 3.2.2</w:t>
      </w:r>
    </w:p>
    <w:p>
      <w:r>
        <w:t>L'indemnité pour atteinte à l'intégrité se caractérise par le fait qu'elle est exclusivement fixée en fonction de facteurs médicaux objectifs, valables pour tous les assurés, et sans égard à des considérations d'ordre subjectif ou personnel (arrêt TF 8C_459/2008 du 4 février 2009; voir également FREI, Die Integritätsentschädigung nach Art. 24 und 25 des Bundesgesetzes über die Unfallversicherung, 1998, p. 41; FRÉSARD/MOSER-SZELESS, l'assurance-accidents obligatoire in Schweizerisches Bundesverwaltungsrecht (SBVR), 2ème éd., 2007, n. 229). Cela signifie que pour tous les assurés présentant un status médical identique, l'atteinte à l'intégrité est la même (ATF 115 V 147 consid. 1, 113 V 218 consid. 4b; RAMA 2004 p. 415, U 134/03, consid. 5.2; RAMA 2000 p. 41, U 360/98, consid. 1).</w:t>
      </w:r>
    </w:p>
    <w:p>
      <w:r>
        <w:rPr>
          <w:b/>
        </w:rPr>
        <w:t>E. 4</w:t>
      </w:r>
    </w:p>
    <w:p>
      <w:r>
        <w:t>Appréciation des preuves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 115 V 133 consid. 2 et 114 V 310 consid. 3c).</w:t>
      </w:r>
    </w:p>
    <w:p>
      <w:r>
        <w:rPr>
          <w:b/>
        </w:rPr>
        <w:t>E. 4.1</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 125 V 351). Le simple fait que le médecin consulté soit lié à l'assureur par un rapport de travail ne permet pas encore de douter de l'objectivité de son appréciation ni de soupçonner une présomption à l'égard de l'assuré. Ainsi,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w:t>
      </w:r>
    </w:p>
    <w:p>
      <w:r>
        <w:t>Tribunal cantonal TC Page 7 de 12 loi. C'est la raison pour laquelle le juge accordera, au cours de la procédure d'administration des preuves, entière valeur probante à l'appréciation émise par un médecin de la SUVA, aussi longtemps qu'aucun indice concret ne permet de douter de son bien-fondé (ATF 125 V 351 consid. 3b/bb et les références citées). Enfin,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 RCC 1988, p. 504 consid. 2).</w:t>
      </w:r>
    </w:p>
    <w:p>
      <w:r>
        <w:rPr>
          <w:b/>
        </w:rPr>
        <w:t>E. 4.2</w:t>
      </w:r>
    </w:p>
    <w:p>
      <w:r>
        <w:t>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RAMA 1999 n° U 344, p. 418 consid. 3).</w:t>
      </w:r>
    </w:p>
    <w:p>
      <w:r>
        <w:rPr>
          <w:b/>
        </w:rPr>
        <w:t>E. 4.3</w:t>
      </w:r>
    </w:p>
    <w:p>
      <w:r>
        <w:t>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 cf. ATF 130 III 324 s. consid.</w:t>
      </w:r>
    </w:p>
    <w:p>
      <w:r>
        <w:rPr>
          <w:b/>
        </w:rPr>
        <w:t>E. 5</w:t>
      </w:r>
    </w:p>
    <w:p>
      <w:r>
        <w:t>Questions litigieuses Deux éléments sont ici litigieux. Tout d'abord, dans le cadre du droit à la rente, la question de la capacité de travail théorique et des limitations rencontrés par le recourant. Celui-ci soutient que son état de santé ne lui permet pas de travailler à temps plein et de réaliser le revenu retenu par l'autorité intimée. Sans détailler ses calculs, il estime qu'une rente d'invalidité entière devrait lui être accordée. Ensuite, il considère que le taux de l'IPAI devrait être fixé à 75% compte tenu de son handicap et des séquelles consécutives à son accident.</w:t>
      </w:r>
    </w:p>
    <w:p>
      <w:r>
        <w:t>Tribunal cantonal TC Page 8 de 12</w:t>
      </w:r>
    </w:p>
    <w:p>
      <w:r>
        <w:rPr>
          <w:b/>
        </w:rPr>
        <w:t>E. 6</w:t>
      </w:r>
    </w:p>
    <w:p>
      <w:r>
        <w:t>Faits utiles pour résoudre les questions litigieuses</w:t>
      </w:r>
    </w:p>
    <w:p>
      <w:r>
        <w:rPr>
          <w:b/>
        </w:rPr>
        <w:t>E. 6.1</w:t>
      </w:r>
    </w:p>
    <w:p>
      <w:r>
        <w:t>Le 14 avril 2017, le recourant est tombé d'un échafaudage. Le rapport médical du 27 avril 2017 pose le diagnostic de polytraumatisme consécutif à une chute d'une hauteur de six mètres, avec fracture A4 de D12 avec une composante B2, fracture S3, fracture intra-articulaire de I'articulation radio-carpienne distale du côté gauche, fracture du calcanéum du côté droit, fracture du calcanéum du côté gauche et fracture de la 10ème côte du côté gauche, non déplacée. Suite à cet accident, il a été opéré à plusieurs reprises entre le 14 et le 24 avril 2017.</w:t>
      </w:r>
    </w:p>
    <w:p>
      <w:r>
        <w:rPr>
          <w:b/>
        </w:rPr>
        <w:t>E. 6.2</w:t>
      </w:r>
    </w:p>
    <w:p>
      <w:r>
        <w:t>Une fois sorti de l'hôpital, le recourant a séjourné à B.________ du 8 mai 2017 au 18 août 2017. Le rapport de B.________ du 14 septembre 2017 pose comme diagnostic principal des thérapies physiques et fonctionnelles post-polytraumatisme sur une chute d'une hauteur de six mètres. Il ajoute les diagnostics de traumatisme cranio-cérébral complet de quelques secondes, fracture tassement de D12 – AO B2, fracture du calcanéus types Sanders IV et fracture de l'os naviculaire à droite, fracture du calcanéum type Sanders III à gauche, fracture du sacrum avec fracture lamina sub-S3 et amputation racine nerveuse sub-S3, fracture-luxation radio-carpienne gauche avec fracture in situ du scaphoïde et lésion partielle du ligament scapho-lunaire, fracture non-déplacée de la côte 10 à gauche et précise une complication sous la forme d'une vessie hypotonique sur lésion S3 post-fracture du sacrum. Sur le plan neurologique, le recourant est bien orienté, pas ralenti ni fatigable mais très difficile au contact pour la collaboration. La présence de fléchissements attentionnels et de performances déficitaires à une tâche d'accès lexical est à relativiser, compte tenu de la maîtrise du français et du niveau socio-éducatif. Le rapport précise enfin que la situation n'est pas stabilisée sur le plan médical. Après ce séjour, le recourant n'a pas retrouvé un emploi. Le recourant a subi deux opérations d'ablation de matériel d’ostéosynthèse les 13 décembre 2018 et 9 avril 2019.</w:t>
      </w:r>
    </w:p>
    <w:p>
      <w:r>
        <w:rPr>
          <w:b/>
        </w:rPr>
        <w:t>E. 6.3</w:t>
      </w:r>
    </w:p>
    <w:p>
      <w:r>
        <w:t>Dans son rapport médical du 17 juin 2020, le Dr C.________, médecin chef au Service de neurologie de l'HFR, a relevé qu'il persistait, sur le plan neurologique, de discrètes séquelles sur les racines sacrées. Il a également considéré que le recourant n'était plus en mesure de travailler dans son activité habituelle et qu'une réorientation serait compliquée, compte tenu des capacités du recourant, lequel n'avait pas été en mesure de suivre la scolarité lors de son apprentissage. L'IRM passée par le recourant en date du 7 juillet 2020 a mis en évidence de multiples altérations de signal de la substance blanche sous-corticale et périventriculaire évoquant une leucopathie d'origine indéterminée, associée à un début d'atrophie sous-corticale. Dans son appréciation médicale du 31 août 2020, la Dre D.________, spécialiste en neurochirurgie et médecin d'arrondissement de la SUVA, a considéré l'état du recourant comme stabilisé. Elle a précisé que son taux d'activité exigible dans son ancienne activité était nul mais qu'il était en mesure d'exercer une activité adaptée à temps plein. Elle a fixé le taux de l'IPAI en procédant à une addition pondérée pour le poignet gauche de 10%, de 5% pour chacune des fractures du calcanéum ainsi que de 30% pour les fractures du rachis thoracique et du sacrum. Le total de 50% lui a ainsi paru adapté, compte tenu du fait qu'une paraplégie au niveau L2 correspondait à une IPAI de 60%.</w:t>
      </w:r>
    </w:p>
    <w:p>
      <w:r>
        <w:t>Tribunal cantonal TC Page 9 de 12</w:t>
      </w:r>
    </w:p>
    <w:p>
      <w:r>
        <w:rPr>
          <w:b/>
        </w:rPr>
        <w:t>E. 6.4</w:t>
      </w:r>
    </w:p>
    <w:p>
      <w:r>
        <w:t>Le recourant a effectué un second séjour à B.________ du 2 au 15 décembre 2020. Le rapport médical du 13 janvier 2021 reprend les diagnostics du rapport du 14 septembre 2017 et ajoute les diagnostics d'arthrose post-traumatique du médio-pied droit, arthrose post-traumatique sous-talienne et du médio-pied gauche, avec conflit entre la fibula distale et calcanéum latéral, arthrose post-traumatique radio-carpienne et pseudarthrose de la styloïde ulnaire et discarthrose L1-L2. Il arrive à la conclusion que la situation est stabilisée sur le plan médical et pose un pronostic de réinsertion favorable dans une activité adaptée tenant compte des limitations fonctionnelles du recourant (port de charges de plus de 10-15 kg, ports de charges répétés de 5-7,5 kg, positions debout statiques prolongées, marches prolongées, marches en terrains irréguliers, positions accroupies et à genoux, réalisation répétée d'escaliers ou d'échelles, travail sur les toits, mouvements nécessitant de la force ou des amplitudes importantes du poignet gauche, mouvements répétés du poignet gauche, activités nécessitant le maintien prolongé du tronc en porte-à-faux, en position statique debout ou assise ainsi que les flexions-torsions répétées du tronc). Enfin, il estime, sur le plan neurologique, qu'aucun nouveau diagnostic ne doit être posé mais propose toutefois la mise en place d'un bilan urodynamique en ambulatoire pour préciser les séquelles génito-sphinctériennes, celui-ci n'ayant pas pu être réalisé lors du séjour.</w:t>
      </w:r>
    </w:p>
    <w:p>
      <w:r>
        <w:rPr>
          <w:b/>
        </w:rPr>
        <w:t>E. 6.5</w:t>
      </w:r>
    </w:p>
    <w:p>
      <w:r>
        <w:t>Dans son courrier électronique du 20 janvier 2021, la Dre D.________ a confirmé son accord avec les conclusions de B.________, relevant toutefois qu'un bilan urodynamique permettrait de se prononcer sur une éventuelle atteinte des racines sacrées. Elle a également considéré que le recourant était en mesure d'exercer une activité adaptée à plein temps avec un rendement complet. Par courrier électronique du 29 janvier 2021 (dossier SUVA doc. 317), la SUVA a été informée du fait que le recourant souhaitait annuler le bilan urodynamique prévu, estimant aller mieux. Dans son appréciation médicale du 25 mai 2021, la Dre D.________ a indiqué être en accord avec les conclusions des praticiens de B.________ quant aux limitations du recourant ainsi qu'au taux d'activité exigible de sa part. Elle a souligné que le recourant avait lui-même refusé de procéder à un bilan urodynamique et recommandé la poursuite de la physiothérapie.</w:t>
      </w:r>
    </w:p>
    <w:p>
      <w:r>
        <w:rPr>
          <w:b/>
        </w:rPr>
        <w:t>E. 7</w:t>
      </w:r>
    </w:p>
    <w:p>
      <w:r>
        <w:t>Discussion</w:t>
      </w:r>
    </w:p>
    <w:p>
      <w:r>
        <w:rPr>
          <w:b/>
        </w:rPr>
        <w:t>E. 7.1</w:t>
      </w:r>
    </w:p>
    <w:p>
      <w:r>
        <w:t>Le recourant reproche à l'autorité intimée d'avoir considéré qu'il dispose d'une capacité de travail entière dans une activité adaptée. A cet égard, il estime que les rapports médicaux présents au dossier ne sont pas suffisants et qu'une expertise pluridisciplinaire avec des volets orthopédique, urodynamique et neurologique doit être mise en œuvre. Or, force est de constater que les rapports présents au dossier sont détaillés et complets. S'il est vrai que les appréciations médicales rendues les 20 janvier et 25 mai 2021 par la Dre D.________ sont succinctes, elles se basent sur les autres rapports médicaux et notamment sur le rapport de B.________ du 13 janvier 2021. Celui-ci fait suite au second séjour du recourant à B.________ et détaille les différents examens pratiqués dans ce cadre. Ce rapport, non remis en cause par le recourant, revient sur les différentes atteintes du recourant avant de détailler les limitations qu'il rencontre. En sus de conclure à une stabilisation de la situation sur le plan médical, il détaille les mesures envisageables en cas d'aggravation des symptômes et conclut à un pronostic de réinsertion favorable dans une activité adaptée et respectant les limitations du recourant. Ce rapport, dûment étayé, a dès lors pleine force probante.</w:t>
      </w:r>
    </w:p>
    <w:p>
      <w:r>
        <w:t>Tribunal cantonal TC Page 10 de 12 Par ailleurs, les arguments avancés par le recourant ne résistent pas à l'examen.</w:t>
      </w:r>
    </w:p>
    <w:p>
      <w:r>
        <w:rPr>
          <w:b/>
        </w:rPr>
        <w:t>E. 7.2</w:t>
      </w:r>
    </w:p>
    <w:p>
      <w:r>
        <w:t>En effet, il reproche à l'autorité intimée de ne pas avoir mis en œuvre d'examen urodynamique, pourtant recommandé par les médecins de B.________, en laissant de côté le fait que cet examen a bel et bien été programmé par la SUVA et qu'il en a lui-même demandé l'annulation, estimant aller mieux. Il ne saurait dès lors venir à présent reprocher à la SUVA de ne pas avoir mis en œuvre un examen qu'il a lui-même refusé. Par ailleurs, ses remarques relatives à la nécessité de pratiquer des examens neurologiques plus poussés se fondent sur le rapport médical de B.________ du 14 septembre 2017 ainsi que sur les résultats de l'IRM du 7 juillet 2020, en oblitérant le fait que le rapport médical de B.________ du 13 janvier 2021, portant sur un séjour ultérieur aux deux rapports précités, mentionne expressément qu'il n'est pas nécessaire de pratiquer des examens neurologiques supplémentaires. Enfin, le recourant met en avant des douleurs supplémentaires ressenties au pied gauche compte tenu de l'arthrose post-traumatique dont il souffre pour requérir des examens complémentaires. Cela faisant, il contredit ses propres déclarations antérieures lors de son refus de procéder à un examen urodynamique. Par ailleurs, il ne s'appuie sur aucun rapport ou appréciation d'un médecin, se contentant de mettre en avant sa propre appréciation, subjective, de son état de santé. Ce seul élément ne saurait dès lors suffire pour obtenir la mise en œuvre d'une expertise pluridisciplinaire, d'autant que les rapports présents au dossier sont complets et détaillés. Sur le vu de ce qui précède, l'autorité intimée était en droit de retenir une pleine capacité de travail médico-théorique.</w:t>
      </w:r>
    </w:p>
    <w:p>
      <w:r>
        <w:rPr>
          <w:b/>
        </w:rPr>
        <w:t>E. 7.3</w:t>
      </w:r>
    </w:p>
    <w:p>
      <w:r>
        <w:t>S'agissant des revenus de valide et d'invalide retenus par la SUVA, ceux-ci ne sont pas remis en cause en tant que tels par le recourant. Le premier a été calculé sur la base du dernier salaire réalisé par le recourant en qualité de couvreur et le second sur la base des statistiques de l'ESS, en retenant le salaire réalisé au niveau de compétence 1, soit des activités simples et répétitives ne requérant ni formation, ni expérience professionnelle spécifique (arrêt TF 8C_608/2021 du 26 avril 2022 consid. 4.3.2). Ces revenus, déterminés selon les méthodes usuelles et sur la base des informations présentes au dossier, peuvent être confirmés. Le recourant reproche par ailleurs également à la SUVA de ne pas avoir tenu compte de l'entier des limitations qu'il subit, critiquant ainsi implicitement le taux d'abattement de 10%. A cet égard, il relève que le rapport du 31 août 2020 mentionne, au titre de limitations supplémentaires, l'incapacité à plier le poignet gauche à plus de 30°, des troubles de l'équilibre et des difficultés à marcher et à effectuer des activités du quotidien. Force est toutefois de constater que si l'autorité intimée n'a pas retenu ces éléments au titre de limitations, c'est parce qu'elle s'est basée sur des rapports médicaux plus récents. La situation du recourant a ainsi pu évoluer entre le rapport du 31 août 2020 et son séjour à B.________ à la fin de l'année 2020, de sorte que certaines limitations ont pu disparaître. Il convient d'ailleurs de souligner que les limitations prises en compte par l'autorité intimée dans sa décision correspondent exactement à celles figurant dans le dernier rapport médical des praticiens de B.________ ainsi que dans l'appréciation médicale du médecin d'arrondissement. Enfin, au vu de dites limitations, un taux de 10% ne paraît pas arbitraire, de sorte qu'il peut être confirmé, étant rappelé que l'administration dispose d'une plus large autonomie au moment de fixer l'abattement à opérer sur le revenu d'invalide.</w:t>
      </w:r>
    </w:p>
    <w:p>
      <w:r>
        <w:t>Tribunal cantonal TC Page 11 de 12</w:t>
      </w:r>
    </w:p>
    <w:p>
      <w:r>
        <w:rPr>
          <w:b/>
        </w:rPr>
        <w:t>E. 7.4</w:t>
      </w:r>
    </w:p>
    <w:p>
      <w:r>
        <w:t>S'agissant du taux de l'IPAI, la SUVA a fixé celui-ci à 50%, suivant l'avis de son médecin d'arrondissement qui a procédé à une addition pondérée pour le poignet gauche de 10%, de 5% pour chacune des fractures du calcanéum ainsi que de 30% pour les fractures du rachis thoracique et du sacrum. Le recourant estime pour sa part que l'IPAI devrait s'élever à 75% au motif que la gravité de son état a été sous-évaluée par le médecin d'arrondissement. Il est cependant difficile de le suivre sur ce point, dans la mesure où, comme cela a été relevé ci-avant, il ne fournit aucun rapport ou avis médical susceptible d'appuyer son propos. A cet égard, il convient de rappeler que l'IPAI est exclusivement fixée en fonction de facteurs médicaux objectifs, valables pour tous les assurés, et sans égard à des considérations d'ordre subjectif ou personnel. Le seul ressenti du recourant n'est ainsi pas de nature à remettre en doute l'appréciation du médecin d'arrondissement de la SUVA, étant encore relevé qu'il n'explique en rien pourquoi le taux de l'IPAI devrait être fixé à 75%. Ce dernier grief, relevant de la contestation de principe, est ainsi également écarté.</w:t>
      </w:r>
    </w:p>
    <w:p>
      <w:r>
        <w:rPr>
          <w:b/>
        </w:rPr>
        <w:t>E. 8</w:t>
      </w:r>
    </w:p>
    <w:p>
      <w:r>
        <w:t>Sort du recours et frais</w:t>
      </w:r>
    </w:p>
    <w:p>
      <w:r>
        <w:rPr>
          <w:b/>
        </w:rPr>
        <w:t>E. 8.1</w:t>
      </w:r>
    </w:p>
    <w:p>
      <w:r>
        <w:t>Au vu de tout ce qui précède, le recours est rejeté et la décision attaquée intégralement confirmée.</w:t>
      </w:r>
    </w:p>
    <w:p>
      <w:r>
        <w:rPr>
          <w:b/>
        </w:rPr>
        <w:t>E. 8.2</w:t>
      </w:r>
    </w:p>
    <w:p>
      <w:r>
        <w:t>Conformément au principe de gratuité applicable aux procédures concernant des litiges en matière de prestations de l’assurance-accidents (voir art. 61 let. fbis LPGA), il n'est pas perçu de frais de procédure.</w:t>
      </w:r>
    </w:p>
    <w:p>
      <w:r>
        <w:rPr>
          <w:b/>
        </w:rPr>
        <w:t>E. 8.3</w:t>
      </w:r>
    </w:p>
    <w:p>
      <w:r>
        <w:t>Vu le sort du recours, le recourant n’a pas droit à des dépens. Il en va de même de la SUVA qui, en tant qu'assureur social, n'a pas droit à des dépens dès lors qu'il ne peut pas vraiment être reproché au recourant d'avoir interjeté recours à la légère (ATF 128 V 323; 126 V 143 consid. 4a). [dispositif en page suivante]</w:t>
      </w:r>
    </w:p>
    <w:p>
      <w:r>
        <w:t>Tribunal cantonal TC Page 12 de 12 la Cour arrête : I. Le recours est rejeté. II. Il n'est pas perçu de frais de procédure.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recourant doivent être joints au mémoire de même qu’une copie du jugement, avec l’enveloppe qui le contenait. La procédure devant le Tribunal fédéral n’est en principe pas gratuite. Fribourg, le 21 novembre 2022/mbo/mbl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