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70 vom 24. Oktober 2022</w:t>
      </w:r>
    </w:p>
    <w:p>
      <w:r>
        <w:t>FR Kantonsgericht, 2022-10-24, FR</w:t>
      </w:r>
    </w:p>
    <w:p>
      <w:r>
        <w:rPr>
          <w:b/>
        </w:rPr>
        <w:t xml:space="preserve">Quelle: </w:t>
      </w:r>
      <w:r>
        <w:t>https://mcp.opencaselaw.ch/entscheid/fr_gerichte_605_2022_70</w:t>
      </w:r>
    </w:p>
    <w:p>
      <w:r>
        <w:t>FR: FR_GERICHTE 605 2022 70 du 24 octobre 2022</w:t>
      </w:r>
    </w:p>
    <w:p>
      <w:r>
        <w:t>IT: FR_GERICHTE 605 2022 70 del 24 ottobre 2022</w:t>
      </w:r>
    </w:p>
    <w:p>
      <w:pPr>
        <w:pStyle w:val="Heading2"/>
      </w:pPr>
      <w:r>
        <w:t>Regeste</w:t>
      </w:r>
    </w:p>
    <w:p>
      <w:r>
        <w:t>Arrêt de la Ie Cour des assurances sociales du Tribunal cantonal | Unfallversicherung</w:t>
      </w:r>
    </w:p>
    <w:p>
      <w:pPr>
        <w:pStyle w:val="Heading2"/>
      </w:pPr>
      <w:r>
        <w:t>Erwägungen</w:t>
      </w:r>
    </w:p>
    <w:p>
      <w:r>
        <w:rPr>
          <w:b/>
        </w:rPr>
        <w:t>E. 17</w:t>
      </w:r>
    </w:p>
    <w:p>
      <w:r>
        <w:t>mars 2022 estimant que celui-ci a commis une erreur de date entrainant une mauvaise appréciation de la situation puisqu'il a retenu que l'accident était survenu en 2008 et non en 2018. Dans ses observations du 4 juillet 2022, la Bâloise propose le rejet du recours, en relevant que le rapport d'expertise du 25 août 2021 évoque une augmentation de l'IPAI entre 20% et 40%, soit une fourchette large et dépendant de l'importance du développement de l'arthrose et du résultat après la mise en place d'une prothèse totale du genou gauche, raison pour laquelle elle ne pourrait entrer en ligne de compte actuellement. Elle soutient dès lors que le taux de l'IPAI de 20% se justifie. Autant qu’utiles à la solution du litige, il sera fait état des arguments développés par les parties à l’appui de leurs conclusions respectives dans les considérants en droit du présent arrêt.</w:t>
      </w:r>
    </w:p>
    <w:p>
      <w:r>
        <w:t>Tribunal cantonal TC Page 3 de 7 en droit 1. Recevabilité 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Partant, le recours est recevable. 2. Dispositions relatives à l'IPAI 2.1. Selon l'art. 24 al. 1 de la loi du 20 mars 1981 sur l'assurance-accidents (LAA; RS 832.20),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RS 832.202]). 2.2. L'IPAI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citées). 2.3.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 218 consid. 2a). Il représente une "règle générale" (ch. 1 al. 1 de l'annexe). Pour les atteintes à l'intégrité qui sont spéciales ou qui ne figurent pas dans la liste, le barème est appliqué par analogie, compte tenu de la gravité de l'atteinte (ch. 1 al. 2 de l'annexe). Selon l'annexe 3 OLAA, le taux maximal pour une "perte d'une jambe au niveau de genou" est de 40%. Dans ce cadre, la division médicale de la SUVA a établi des tables complémentaires d'indemnisation des atteintes à l'intégrité selon la LAA. Ces tables, qui ne constituent pas des règles de droit mais de simples indications ne liant pas le juge, sont compatibles avec l'annexe 3 à l'OLAA dans la mesure</w:t>
      </w:r>
    </w:p>
    <w:p>
      <w:r>
        <w:t>Tribunal cantonal TC Page 4 de 7 où il s'agit de valeurs indicatives, destinées à assurer autant que faire se peut l'égalité de traitement entre les assurés (arrêt TF 8C_459/2008 du 4 février 2009; ATF 124 V 209 consid. 4a/cc, 116 V 156 consid. 3a; RAMA 1998 p. 235, U 245/96 consid. 2a). 2.4. 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 229). Cela signifie que pour tous les assurés présentant un status médical identique, l'atteinte à l'intégrité est la même (ATF 115 V 147 consid. 1, 113 V 218 consid. 4b; RAMA 2004 p. 415, U 134/03, consid. 5.2; RAMA 2000 p. 41, U 360/98, consid. 1). 2.5. Aux termes de l'art. 36 al. 4 OLAA, il est équitablement tenu compte des aggravations prévisibles de l'atteinte à l'intégrité; une révision n'est possible qu'en cas exceptionnel, si l'aggravation est importante et n'était pas prévisible. S'il y a lieu de tenir équitablement compte d'une aggravation prévisible de l'atteinte lors de la fixation du taux de l'indemnité, cette règle ne vise toutefois que les aggravations dont la survenance est vraisemblable et - cumulativement (arrêt TFA U 173/00 du 22 septembre 2000 consid. 2 et la référence) - l'importance quantifiable (arrêt TF 8C_494/2014 du 11 décembre 2014 consid. 6.2). Le taux d'une atteinte à l'intégrité dont l'aggravation est prévisible au sens de l'art. 36 al. 4 OLAA doit être fixé sur la base de constatations médicales (arrêt TF 8C_238/2020 du 7 octobre 2020 consid. 3 et les références citées). 3. Appréciation des preuves 3.1.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t>Tribunal cantonal TC Page 5 de 7 3.2.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La jurisprudence attire l'attention sur la relation de confiance qui s'établit immanquablement entre le médecin traitant et son patient, ainsi que sur l'indépendance présumée d'un médecin lié à un assureur par un rapport de travail, mais n'en déduit pas pour autant une quelconque règle de préséance (arrêt TF 9C_843/2007 du 28 juillet 2008 consid. 3). 4. Discussion En l'occurrence, le recourant conteste l'évaluation de l'indemnité pour atteinte à l'intégrité, en particulier le taux de 20% retenu dans la décision querellée. 4.1. Ce taux a été fixé par l'autorité intimée sur la base des deux rapports du Dr B.________, spécialiste en chirurgie orthopédique. Dans son rapport d'expertise du 25 août 2021, le praticien arrive à la conclusion que le genou va évoluer de toute manière vers une gonarthrose fémoro-patellaire puis vraisemblablement globale. Il retient qu'un retour au statu quo sine est impossible et qu'il s'agit là d'une aggravation durable et donc à la charge de l'assureur LAA à vie. S'agissant de l'IPAI, il l'estime, pour le genou gauche, à 15%. Il précise toutefois que, concernant l'avenir, il est certain que les troubles dégénératifs vont s'aggraver, ce à quoi s'ajoute une insuffisance du ligament croisé antérieur. Dans ces conditions, il estime que l'IPAI devra être augmentée entre 20% et 40% selon l'importance de l'arthrose et/ou le résultat après mise en place d'une prothèse totale du genou. Dans sa prise de position complémentaire du 17 mars 2022 envoyée par courrier électronique, le Dr B.________ commence par rappeler que le ligament a été lésé lors de l'événement du 29 novembre 2008. Il répète ensuite qu'il est vraisemblable que les troubles dégénératifs aillent en s'aggravant et que les lésions du ligament croisé postérieur entrainent une arthrose au moins fémoro-patellaire voire totale. Au vu de l'état du ligament croisé antérieur, il est vraisemblable que</w:t>
      </w:r>
    </w:p>
    <w:p>
      <w:r>
        <w:t>Tribunal cantonal TC Page 6 de 7 la situation aille vers une pangonarthrose et se termine par une prothèse totale du genou dans un avenir plus ou moins proche. Il poursuit en soulignant que le problème se trouve dans le fait que 13 ans après l'événement, les lésions dégénératives secondaires du genou gauche ne sont que peu importantes. Pour cette raison, il ne peut pas prédire jusqu'à quel niveau l'aggravation se poursuivra. Partant, il n'est pas en mesure de déterminer avec précision quelle sera l'augmentation de l'IPAI due au recourant en raison de l'aggravation de son état de santé mais peut uniquement la chiffrer entre 20% et 40%. 4.2. Le recourant critique la prise de position complémentaire susmentionnée et estime qu'elle doit être écartée du dossier en raison de l'erreur manifeste commise par l'expert relative à la date de l'accident. Ces critiques sont compréhensibles et peuvent être suivies. En effet, l'expert ne s'est pas contenté de placer l'événement en 2008, ce qui aurait pu consister en une simple faute de frappe dénuée de conséquence. Il s'est encore appuyé sur cette date par la suite pour motiver sa prise de position, évoquant ainsi que "le problème est que 13 ans après l'événement, les lésions dégénératives secondaires du genou gauche, liées à ce dernier, ne sont que peu importantes". Force est dès lors de constater que l'expert s'est mépris sur le cas du recourant dans sa prise de position du 17 mars 2022 et a considéré à tort que l'accident avait eu lieu en 2008 et non en 2018. Dans ces conditions, il convient de ne pas tenir compte des arguments et des conclusions contenus dans la prise de position complémentaire de l'expert. 4.3. S'agissant à proprement parler du taux de l'IPAI, le rapport d'expertise du 25 août 2021 retient que celui-ci est à l'heure actuelle de 15% mais que la situation du recourant va immanquablement se détériorer dans un futur plus ou moins proche. Force est dès lors de constater que l'aggravation future de l'état du genou gauche du recourant n'est pas contestable. Cela étant, au sens de la jurisprudence précitée (cf. arrêt TF 8C_494/2014 du 11 décembre 2014 consid. 6.2), l'aggravation ne doit pas seulement être vraisemblable mais également quantifiable. Or, en l'espèce, l'expert a très clairement indiqué que l'augmentation de l'IPAI se situerait dans une fourchette allant de 5% à 25%, soit une IPAI totale pouvait aller de 20% à 40%. Il justifie cet écart important en indiquant que l'aggravation réelle dépendra d'une part de l'importance de l'évolution de l'arthrose du recourant et d'autre part du résultat après mise en place d'une prothèse totale du genou le jour où celle-ci sera nécessaire. L'on comprend dès lors aisément que la future IPAI totale n'est pas quantifiable, de sorte qu'elle ne saurait être fixée dès à présent. Il faut encore souligner que les pourcentages formulés par l'expert correspondent à ceux de la table complémentaire d'indemnisation 5 de la SUVA, laquelle fixe à 20% l'IPAI en cas de bon résultat suite à une endoprothèse et à 40% l'IPAI en cas de mauvais résultat suite à une endoprothèse. Ainsi, l'expert n'a pas réellement formulé d'estimation dans le cas concret du recourant mais s'est contenté de relever la fourchette au sein de laquelle se situera l'IPAI suite à la mise en place d'une prothèse totale du genou, opération qu'il estime inévitable dans un future plus ou moins proche. Enfin, il faut relever que l'autorité intimée a d'ores et déjà fixé l'IPAI à 20%, tenant ainsi compte de l'aggravation minimum prévue par l'expert et réservant au recourant la possibilité de demander la révision de sa décision en cas d'aggravation plus importante. Ce n'est en effet que dans le cadre d'une révision future, qui tiendra plus précisément compte d'une évaluation objective de la situation, que l'IPAI pourra, cas échéant, être augmentée. Le grief soulevé à l'appui du recours s'avère ainsi infondé.</w:t>
      </w:r>
    </w:p>
    <w:p>
      <w:r>
        <w:t>Tribunal cantonal TC Page 7 de 7 5. Sort du recours et frais 5.1. Sur le vu de ce qui précède, le recours doit être rejeté et la décision querellée confirmée. 5.2. La LAA ne prévoyant pas que la procédure pour les litiges en matière de prestations soit soumise à des frais judiciaires (cf. art. 61 let. fbis, 1ère phrase, LPGA dans sa teneur en vigueur depuis le 1er janvier 2021), il n’est pas perçu de frais de justice, conformément au principe de la gratuité de la procédure continuant de valoir en la matière. 5.3. Il n’est alloué d'indemnité de partie ni à l'autorité intimée, chargée de tâches de droit public (cf. arrêts TF 8C_552/2009 du 8 avril 2010 consid. 6 et 9C_312/2008 du 24 novembre 2008 consid. 8), ni au recourant, qui succombe (art. 61 let. g LPGA). la Cour arrête : I. Le recours est rejeté.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24 octobre 2022/mbo/mbl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