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63 vom 9. Dezember 2022</w:t>
      </w:r>
    </w:p>
    <w:p>
      <w:r>
        <w:t>FR Kantonsgericht, 2022-12-09, DE</w:t>
      </w:r>
    </w:p>
    <w:p>
      <w:r>
        <w:rPr>
          <w:b/>
        </w:rPr>
        <w:t xml:space="preserve">Quelle: </w:t>
      </w:r>
      <w:r>
        <w:t>https://mcp.opencaselaw.ch/entscheid/fr_gerichte_605_2022_63</w:t>
      </w:r>
    </w:p>
    <w:p>
      <w:r>
        <w:t>FR: FR_GERICHTE 605 2022 63 du 9 décembre 2022</w:t>
      </w:r>
    </w:p>
    <w:p>
      <w:r>
        <w:t>IT: FR_GERICHTE 605 2022 63 del 9 dicembre 2022</w:t>
      </w:r>
    </w:p>
    <w:p>
      <w:pPr>
        <w:pStyle w:val="Heading2"/>
      </w:pPr>
      <w:r>
        <w:t>Regeste</w:t>
      </w:r>
    </w:p>
    <w:p>
      <w:r>
        <w:t>110_605 22 63 Spicher Kausalität Schulter_ANOM.docx | Unfallversicherung</w:t>
      </w:r>
    </w:p>
    <w:p>
      <w:pPr>
        <w:pStyle w:val="Heading2"/>
      </w:pPr>
      <w:r>
        <w:t>Erwägungen</w:t>
      </w:r>
    </w:p>
    <w:p>
      <w:r>
        <w:rPr>
          <w:b/>
        </w:rPr>
        <w:t>E. 1</w:t>
      </w:r>
    </w:p>
    <w:p>
      <w:r>
        <w:t>Die Beschwerde ist fristgerecht bei der Suva eingereicht worden, welche diese an die zuständige Beschwerdeinstanz weitergeleitet hat. Mit Einreichung der verbesserten Beschwerdeschrift vom 19. April 2022 wurden auch die Formvorschriften erfüllt. Der Beschwerdeführer ist zur Einreichung der Beschwerde befugt, da er vom angefochtenen Einspracheentscheid unmittelbar berührt ist und ein schutzwürdiges Interesse hat, dass das Kantonsgericht, I. Sozialversicherungsgerichtshof, prüft, ob die Suva auch über den 23. Juni 2021 hinaus leistungspflichtig ist. Auf die Beschwerde ist einzutreten. Kantonsgericht KG Seite 3 von 9</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Dieser muss nicht den Nachweis unfallfrem- der Ursachen erbringen. Entscheidend ist allein, ob unfallbedingte Ursachen des Gesundheitsscha- dens ihre kausale Bedeutung verloren haben, also dahingefallen sind (Urteil BGer 8C_160/2012 vom 13. Juni 2012 E. 2 mit Hinweisen).</w:t>
      </w:r>
    </w:p>
    <w:p>
      <w:r>
        <w:rPr>
          <w:b/>
        </w:rPr>
        <w:t>E. 2.4</w:t>
      </w:r>
    </w:p>
    <w:p>
      <w:r>
        <w:t>Entsprechend der Regelung von Art. 6 Abs. 2 Bst. f erbringt die Versicherung ihre Leistungen auch bei Sehnenrissen, sofern sie nicht vorwiegend auf Abnützung oder Erkrankung zurückzuführen sind. Der Unfallversicherer steht bei Vorliegen einer Listenverletzung grundsätzlich in der Pflicht, Leistun- 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Kantonsgericht KG Seite 4 von 9 Entlastungsbeweis des Unfallversicherers. Denn bei der in erster Linie von medizinischen Fachper- sonen zu beurteilenden Abgrenzungsfrage ist das gesamte Ursachenspektrum der in Frage stehen- 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 weisen, dass die fragliche Listenverletzung vorwiegend, d. 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 rigen (Urteil BGer 8C_267/2019 vom 30. Oktober 2019 E. 6 mit Hinweis auf das zur Publikation vorgesehene Urteil BGer 8C_22/2019 vom 24. September 2019 [BGE 146 V 51]).</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Gutachten, welche der Unfallversicherer während des Administrativ- verfahrens von seinen eigenen Ärzten einholt, sind beweistauglich, solange ihre Richtigkeit nicht durch konkrete Indizien erschüttert wird (BGE 125 V 351 E. 3b/ee). Die Kreisärzte wie auch die Fachärzte des Kompetenzzentrums Versicherungsmedizin Suva sind nach ihrer Funktion und beruflichen Stellung Fachärzte im Bereich der Unfallmedizin. Da sie aus- schliesslich Unfallpatienten, Körperschädigungen i. S. v. Art. 6 Abs. 2 UVG und Berufskrankheiten diagnostisch beurteilen und therapeutisch begleiten, verfügen sie über besonders ausgeprägte trau- matologische Kenntnisse und Erfahrungen (Urteil BGer 8C_59/2020 vom 14. April 2020 E. 5.2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 Kantonsgericht KG Seite 5 von 9</w:t>
      </w:r>
    </w:p>
    <w:p>
      <w:r>
        <w:rPr>
          <w:b/>
        </w:rPr>
        <w:t>E. 3</w:t>
      </w:r>
    </w:p>
    <w:p>
      <w:r>
        <w:t>Es ist streitig, ob die Suva über den 23. Juni 2021 hinaus für das Schulterleiden des Beschwerde- führers leistungspflichtig ist.</w:t>
      </w:r>
    </w:p>
    <w:p>
      <w:r>
        <w:rPr>
          <w:b/>
        </w:rPr>
        <w:t>E. 3.1</w:t>
      </w:r>
    </w:p>
    <w:p>
      <w:r>
        <w:t>Der Beschwerdeführer bringt vor, die Suva stütze sich für ihren Entscheid nur auf die Meinung ihres Kreisarztes und nehme die Berichte seines behandelnden Arztes, Dr. med. E.________, Facharzt für orthopädische Chirurgie und Traumatologie des Bewegungsapparates sowie Handchirurgie, nicht zur Kenntnis. Gemäss diesem würden die Beschwerden, die zur Opera- tion vom 3. August 2021 geführt haben, in einem Kausalzusammenhang zum Unfall stehen. Ferner habe die Suva bis zur Operation nie mitgeteilt, sein Fall werde nicht mehr als Unfall anerkannt.</w:t>
      </w:r>
    </w:p>
    <w:p>
      <w:r>
        <w:rPr>
          <w:b/>
        </w:rPr>
        <w:t>E. 3.2</w:t>
      </w:r>
    </w:p>
    <w:p>
      <w:r>
        <w:t>Die Suva stützte sich für ihren Einspracheentscheid auf die Berichte ihres Kreisarztes, Dr. med. F.________, Praktischer Arzt. Dieser erklärte in seinem Kurzbericht vom 4. August 2021 (Suva-Akten Nr. 18), der Unfall habe nicht zu zusätzlichen objektivierbaren strukturellen Schäden geführt. Die Befunde seien ausschliesslich degenerativer Art. In seiner ärztlichen Beurteilung vom 15. Oktober 2021 (Suva-Akten Nr. 35) hielt er fest, die im MRI und intraoperativ vorgefundenen Befunde seien ausschliesslich vorbestehend und degenerativer Natur und nicht Folge oder Teilfolge eines über sieben Monate später nachträglich geltend gemach- ten Ereignisses. Wäre es anlässlich von diesem zu einer relevanten Kontusion/Verletzung des rech- ten Schultergelenkes mit daraus resultierender Sehnenläsion gekommen, so wäre eine unmittelbare Funktionseinschränkung bis Funktionsausfall sowie ein zeitnahes Aufsuchen eines Arztes die Folge gewesen. Im MRI zeige sich der typische Befund einer ausgeprägten degenerativen aktivierten AC- Gelenksarthrose mit subacromialem Sporn und daraus resultierender Bedrängung der Supraspina- tussehne. Weiter würden sich im Ansatzbereich der Supraspinatussehne zystisch degenerative Veränderungen mit in der Folge daraus resultierender Teilruptur der Muskulatur in diesem Bereich zeigen. Am 2. November 2021 (Suva-Akten Nr. 37) ergänzte er, wenn von administrativer Seite von einem Unfallereignis ausgegangen werde, so sei aufgrund des nachträglich geltend gemachten Ereignisses von einer vorübergehenden Beschwerdeauslösung von einigen Tagen bis längstens zwei Wochen auszugehen. Im Rahmen des Einspracheverfahrens bestätigte der Kreisarzt am 24. November 2021 (Suva-Akten Nr. 52) seine Ansicht. Vom Versicherten werde die Covid-Pandemie als Vorwand für die erst sechs Monate nach dem Ereignis erfolgte erste ärztliche Konsultation genommen. Wäre es anlässlich des geltend gemachten Ereignisses tatsächlich zu einer strukturellen Läsion der Schulter, insbesondere zur gegenständlichen traumatischen Supraspinatussehnenruptur gekommen, so hätte dies ein Drop-arm-sign und damit verbunden das Aufsuchen eines Spitalnotfalls zur Folge gehabt. Hier hät- ten offenbar weder entsprechende Einschränkungen noch Beschwerden vorgelegen, welche eine Arztkonsultation notwendig gemacht hätten. Dr. med. E.________, halte fest, im MRI vom 28. Juli 2020 zeige sich eine deutliche Ruptur des Supraspinatus mit kleinen Knochenreaktionen im Tuberculum majus ohne Hypotrophie. Weiter finde sich eine AC-Gelenksarthrose. Weiter werde argumentiert, der beschriebene Unfallmechanismus mit unmittelbarer Schmerzanamnese nach dem Unfall spreche zumindest für einen Kausalzusammenhang. Jedoch würden die fehlende Arztkonsul- tation über sechs Monate, eine fehlende Bewegungseinschränkung und insbesondere die im MRI vorliegenden Befunde gegen eine Unfallkausalität, sondern für vorbestehende degenerative Läsion der Supraspinatussehne sprechen. Im Bereich der Läsion würden sich deutliche zystische Verände- rungen zeigen als Hinweis auf eine chronische Schädigung des Footprints der Supraspinatussehne. Kantonsgericht KG Seite 6 von 9 Zudem zeige sich eine aktivierte AC-Gelenksarthrose, welche die Beschwerdesymptomatik hinrei- chend erkläre. Dass es zu keiner Hypotrophie/Atrophie des M. supraspinatus gekommen sei, liege in der Natur der Sache, da der Grossteil der Supraspinatussehne intakt sei.</w:t>
      </w:r>
    </w:p>
    <w:p>
      <w:r>
        <w:rPr>
          <w:b/>
        </w:rPr>
        <w:t>E. 3.3</w:t>
      </w:r>
    </w:p>
    <w:p>
      <w:r>
        <w:t>Entgegen der Ansicht des Beschwerdeführers hat die Suva somit sehr wohl auch die Berichte des behandelten Spezialisten berücksichtigt, da der Kreisarzt explizit zu dessen Sichtweise Stellung nahm und begründete, weshalb ihr aber nicht gefolgt werden kann. Die Ansicht des Kreisarztes überzeugt, da sie sich mit den vorhandenen Unterlagen deckt. Die Hausärztin, Dr. med. G.________, Fachärztin für Allgemeine Innere Medizin, notierte am 16. Juli 2021 (Suva-Akten Nr. 15) hinsichtlich der Erstbehandlung vom 22. Juli 2020, er habe eine geringe vor allem schmerzhafte Einschränkung der Rotation der rechten Schulter gezeigt. Als Diagnosen wurde eine Tendinopathie der Supraspinatussehne, eine Bursitis und ein Knochenödem mit AC- Gelenksarthrose genannt. Dies gestützt auf einen Bericht zu einem MRI der rechten Schulter vom 28. Juli 2020 (Suva-Akten Nr. 14). Gemäss diesem lag eine erhebliche Tendinopathie der Supraspinatussehne vor mit einer kleinen, tiefen nicht transfixierenden partiellen Läsion im mittleren Drittel von etwa 5 mm, ohne Retraktion der Sehne, eine Verdickung der Bursa subacromialis sowie eine erhebliche AC-Gelenksarthrose mit Kapselverdickung und Knochenödem an den Gelenkrändern. Bei einer Tendinopathie oder Tendopathie handelt es sich um eine primär nicht-entzündliche, dege- nerative Erkrankung der Sehnen, die zu Schmerzen und Bewegungseinschränkungen führt (https://flexikon.doccheck.com/de/Tendopathie, besucht am 28. November 2022). Ein solches Geschehen erstaunt angesichts des Alters der Beschwerdeführerin, gut 58 Jahre zum Unfallzeit- punkt, nicht. So unterliegt die Rotatorenmanschette ab dem dritten Lebensjahrzehnt der Degenera- tion (vgl. SCHÖNBERGER/MEHRTENS/VALENTIN, Arbeitsunfall und Berufskrankheit, 9. Aufl. 2017, S. 430). Eine Bursitis kann zwar durch ein stumpfes Trauma entstehen, ebenso aber durch mechani- sche Überbelastung z. B. bei überwiegend sitzender Bürotätigkeit oder durch degenerative Prozes- se. Ferner handelt es sich bei einer Arthrose um eine degenerative Gelenkerkrankung, die vorwie- gend bei einem Missverhältnis zwischen Beanspruchung und Belastbarkeit der einzelnen Gelenkan- teile und -gewebe entsteht (Pschyrembel, Klinisches Wörterbuch, 268. Aufl. 2020). Damit lagen gemäss dem MRI, sieben Monate nach dem Unfall, wie vom Kreisarzt zu Recht festgehalten, einzig degenerative Veränderungen vor, die zudem hinsichtlich der Tendinopathie und der AC-Gelenksar- throse als erheblich beschrieben wurden. Schon zu diesem Zeitpunkt bestand eine kleine Teilruptur der Supraspinatussehne von 5 mm. Strukturelle, durch den Unfall verursachte Läsionen waren jedoch nicht ersichtlich. Die Ruptur vergrösserte sich in den nächsten Monaten, da sich im Ultraschall der rechten Schulter vom 25. Februar 2021 (Suva-Akten Nr. 12) bereits eine Ruptur von 1.8 cm zeigte. Aus dem Opera- tionsbericht vom 3. August 2021 (Suva-Akten Nr. 30) ergeben sich keine Hinweise auf traumatische Schäden, da bei diesem Bericht bei den Diagnosen nur eine Ruptur der Supraspinatussehne sowie eine AC-Gelenksarthrose genannt werden. Wäre es anlässlich des Unfalls vom 20. Januar 2020 zu einer Sehnenruptur gekommen, so ist zusammen mit dem Kreisarzt davon auszugehen, dass der Beschwerdeführer, auch während der Covid-Pandemie, nicht erst nach sieben Monaten einen Arzt aufgesucht hätte, da es sofort zu einem Funktionsverlust gekommen wäre. Der Beschwerdeführer beklagte sich aber vor allem über Schmerzen, wie er es auch gegenüber der Suva anlässlich einer Besprechung vom 25. August 2021 (Suva-Akten Nr. 32) erklärte: er habe sofort Schmerzen verspürt, habe aber nicht einen Arzt aufge- Kantonsgericht KG Seite 7 von 9 sucht, weil er dachte, es gehe wieder besser und habe sich mit Übungen selber behandelt und habe einzig schwere Lasten mit dem rechten Arm vermieden. Auch die Hausärztin notierte anlässlich der Erstuntersuchung nur eine geringe, vor allem schmerzhafte, Einschränkung bei der Rotation. Die Beschwerden, die zur Schulteroperation geführt haben, stehen deshalb mit überwiegender Wahrscheinlichkeit nicht in einem Kausalzusammenhang zum Unfall. So lagen auch sieben Monate nach dem Unfall gemäss dem MRI einzig degenerative Veränderungen vor und die Ruptur hat sich langsam weiterentwickelt bis eine Operation notwendig war. Der Unfall führte somit einzig zu einer vorübergehenden Verschlimmerung, wobei der Status sine vel ante gemäss dem Kreisarzt nach zwei Wochen erreicht war. Dies war sicherlich der Fall zum Zeitpunkt des Fallabschlusses per 23. Juni 2021, 18 Monate nach dem Unfall. Ebenso spricht der Umstand, dass bis zum Fallabschluss nie eine Arbeitsunfähigkeit vorlag, gegen eine durch den Unfall verursachte Sehnenruptur. Diese wurde vielmehr aufgrund der vorhandenen erheblichen degenerativen Veränderungen verursacht, weshalb eine Leistungspflicht der Suva für die Operation weder auf Art. 6 Abs. 1 UVG noch auf Art. 6 Abs. 2 UVG abgestützt werden kann.</w:t>
      </w:r>
    </w:p>
    <w:p>
      <w:r>
        <w:rPr>
          <w:b/>
        </w:rPr>
        <w:t>E. 3.4</w:t>
      </w:r>
    </w:p>
    <w:p>
      <w:r>
        <w:t>Zu keiner Änderung führen die Berichte des behandelnden Arztes. Dieser diagnostizierte am 24. Juni 2021 (Suva-Akten Nr. 10) eine Ruptur der Supraspinatussehne der rechten Schulter sowie eine traumatische AC-Gelenksarthrose. Während einer gewissen Zeit habe der Beschwerdeführer sich des linken Armes behelfen müssen, um eine Abduktion machen zu können. Am 12. November 2021 (Suva-Akten Nr. 49) war der behandelnde Arzt der Ansicht, der Unfall habe zur Supraspinatus- sehnenruptur geführt. Im MRI vom 28. Juli 2020 zeige sich eine deutliche Ruptur des Supraspinatus mit kleinen Knochenreaktionen im Tuberculum majus ohne Hypotrophie. Weiter finde sich eine AC- Gelenksarthrose. Der beschriebene Unfallmechanismus mit unmittelbaren Schmerzen spreche zumindest für einen wahrscheinlichen (probable) Kausalzusammenhang hinsichtlich des Supraspi- natus. Die AC-Gelenksarthrose habe wahrscheinlich bereits vorher bestanden, habe jedoch nicht zur Ruptur geführt, wie es sich aus den MRI-Bildern ergebe. In einer E-Mail vom 28. Februar 2022 (Suva-Akten Nr. 62) war der behandelnde Arzt der Ansicht, mindestens zwei Elemente der Argu- mentation des Kreisarztes würden nicht der Wahrheit entsprechen. Es werde geschrieben, nach dem Unfall habe kein "drop-arm syndrom" vorgelegen. Gemäss seinem ersten Bericht vom 24. Juni 2021 stehe hingegen fest, dass der Beschwerdeführer den Arm nur mit Hilfe des anderen Armes habe anheben können. Ferner behaupte der Kreisarzt, die AC-Arthrose würde die Beschwerden erklären, was nicht zutreffe. Der behandelnde Arzt gibt in diesen Berichten seine persönliche Ansicht wieder, begründet aber nicht weiter, inwiefern der Ansicht des Kreisarztes nicht gefolgt werden kann. Auch wenn er in seinem ersten Bericht vom Juni 2021 angab, der Beschwerdeführer könne den Arm nur mit Hilfe des linken Armes hochheben, so ergibt sich dies eben gerade nicht aus dem Bericht der Hausärztin, sieben Monate nach dem Unfall. Damals wurde einzig eine geringe, vor allem schmerzhafte Einschränkung bei der Rotation angegeben, weshalb direkt nach dem Unfall eben gerade nicht mit überwiegender Wahrscheinlichkeit von einer durch den Unfall ausgelösten relevanten Funktionsstö- rung ausgegangen werden kann. Dies bestätigt sich in der zu keinem Zeitpunkt vorhandenen Arbeitsunfähigkeit bis zum Fallabschluss. Da sich die Ruptur bereits im Februar 2021 stark vergrös- sert hatte, 1.8 cm statt nur 0.5 cm im Juli 2020, kann nicht ausgeschlossen werden, dass anlässlich der Konsultation im Juni 2021, 18 Monate nach dem Unfall, ein sog. Drop-arm-syndrom" vorgelegen hat, was aber nicht auf den Unfall zurückgeführt werden kann. Ferner fällt auf, dass der behandelnde Arzt zu keinem Zeitpunkt die erhebliche Tendinopathie der Supraspinatussehne erwähnt. Insgesamt genügen seine Berichte, bei welchen zu berücksichtigen ist, dass, wie dargestellt, behandelnde Kantonsgericht KG Seite 8 von 9 Ärzte tendenziell eher zu Gunsten ihrer Patienten aussagen, nicht, um die überzeugende Ansicht des Kreisarztes zu entkräften. Schliesslich ist der Beschwerdeführer darauf hinzuwiesen, dass es sich beim Kreisarzt zwar nicht um einen Orthopäden handelt. Jedoch verfügen die Ärzte der Suva, da sie ausschliesslich Unfallpa- tienten, Körperschädigungen i. S. v. Art. 6 Abs. 2 UVG und Berufskrankheiten diagnostisch beurtei- len und therapeutisch begleiten, wie gesehen, über besonders ausgeprägte traumatologische Kenntnisse und Erfahrungen.</w:t>
      </w:r>
    </w:p>
    <w:p>
      <w:r>
        <w:rPr>
          <w:b/>
        </w:rPr>
        <w:t>E. 4</w:t>
      </w:r>
    </w:p>
    <w:p>
      <w:r>
        <w:t>Zusammenfassend hat die Suva zu Recht ihre Leistungen per 23. Juni 2021 eingestellt, da mit über- wiegender Wahrscheinlichkeit die erheblichen degenerativen Veränderungen zur Ruptur der Supra- spinatussehne geführt haben. Der Einspracheentscheid vom 18. Februar 2022 ist zu bestätigen und die Beschwerde abzuweisen. Es werden keine Gerichtskosten erhoben, da hier das Prinzip der Kostenlosigkeit des Verfahrens gestützt auf Art. 61 Bst. fbis ATSG weiter zur Anwendung kommt. (Dispositiv auf der nächsten Seite) Kantonsgericht KG Seite 9 von 9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9. Dezember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