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189 vom 1. Juli 2023</w:t>
      </w:r>
    </w:p>
    <w:p>
      <w:r>
        <w:t>FR Kantonsgericht, 2023-07-01, FR</w:t>
      </w:r>
    </w:p>
    <w:p>
      <w:r>
        <w:rPr>
          <w:b/>
        </w:rPr>
        <w:t xml:space="preserve">Quelle: </w:t>
      </w:r>
      <w:r>
        <w:t>https://mcp.opencaselaw.ch/entscheid/fr_gerichte_605_2022_189</w:t>
      </w:r>
    </w:p>
    <w:p>
      <w:r>
        <w:t>FR: FR_GERICHTE 605 2022 189 du 1 juillet 2023</w:t>
      </w:r>
    </w:p>
    <w:p>
      <w:r>
        <w:t>IT: FR_GERICHTE 605 2022 189 del 1 luglio 2023</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w:t>
      </w:r>
    </w:p>
    <w:p>
      <w:r>
        <w:t>Dispositions générales relatives aux prestations LAA</w:t>
      </w:r>
    </w:p>
    <w:p>
      <w:r>
        <w:rPr>
          <w:b/>
        </w:rPr>
        <w:t>E. 2.1</w:t>
      </w:r>
    </w:p>
    <w:p>
      <w:r>
        <w:t>Dans le catalogue des prestations de l'assurance-accidents figurent notamment le droit au traitement médical (art. 10 et 54 de la loi du 20 mars 1981 sur l'assurance-accidents [LAA; RS 832.20]), le droit à l'indemnité journalière (art. 16 LAA), le droit à une rente d'invalidité (art. 18 et 19 LAA) et le droit à une indemnité pour atteinte à l’intégrité (art. 24 et 25 LAA).</w:t>
      </w:r>
    </w:p>
    <w:p>
      <w:r>
        <w:rPr>
          <w:b/>
        </w:rPr>
        <w:t>E. 2.2</w:t>
      </w:r>
    </w:p>
    <w:p>
      <w:r>
        <w:t>Selon l’art. 16 al. 1 LAA, l'assuré totalement ou partiellement incapable de travailler (art. 6 de la loi fédérale du 6 octobre 2000 sur la partie générale du droit des assurances sociales [LPGA; RS 830.1]) à la suite d'un accident a droit à une indemnité journalière. L’al. 2 de cette disposition précise que le droit à l’indemnité journalière naît le troisième jour qui suit celui de l'accident; il s'éteint dès que l'assuré a recouvré sa pleine capacité de travail, dès qu'une rente est versée ou dès que l'assuré décède.</w:t>
      </w:r>
    </w:p>
    <w:p>
      <w:r>
        <w:t>Tribunal cantonal TC Page 4 de 14</w:t>
      </w:r>
    </w:p>
    <w:p>
      <w:r>
        <w:rPr>
          <w:b/>
        </w:rPr>
        <w:t>E. 2.3</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w:t>
      </w:r>
    </w:p>
    <w:p>
      <w:r>
        <w:rPr>
          <w:b/>
        </w:rPr>
        <w:t>E. 2.4</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3</w:t>
      </w:r>
    </w:p>
    <w:p>
      <w:r>
        <w:t>Droit à la rente et calcul du taux d’invalidité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w:t>
      </w:r>
    </w:p>
    <w:p>
      <w:r>
        <w:t>Tribunal cantonal TC Page 5 de 14 déterminer les activités qui entrent encore en considération pour l'assuré malgré les limitations dues à l'accident.</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de valide (ou :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w:t>
      </w:r>
    </w:p>
    <w:p>
      <w:r>
        <w:rPr>
          <w:b/>
        </w:rPr>
        <w:t>E. 3.3.1</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 l'OFS).</w:t>
      </w:r>
    </w:p>
    <w:p>
      <w:r>
        <w:rPr>
          <w:b/>
        </w:rPr>
        <w:t>E. 3.3.2</w:t>
      </w:r>
    </w:p>
    <w:p>
      <w:r>
        <w:t>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w:t>
      </w:r>
    </w:p>
    <w:p>
      <w:r>
        <w:t>Tribunal cantonal TC Page 6 de 14</w:t>
      </w:r>
    </w:p>
    <w:p>
      <w:r>
        <w:rPr>
          <w:b/>
        </w:rPr>
        <w:t>E. 4</w:t>
      </w:r>
    </w:p>
    <w:p>
      <w:r>
        <w:t>Dispositions relatives à l’IPAI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p. 602 consid. 3b).</w:t>
      </w:r>
    </w:p>
    <w:p>
      <w:r>
        <w:rPr>
          <w:b/>
        </w:rPr>
        <w:t>E. 5</w:t>
      </w:r>
    </w:p>
    <w:p>
      <w:r>
        <w:t>Appréciation des preuves</w:t>
      </w:r>
    </w:p>
    <w:p>
      <w:r>
        <w:rPr>
          <w:b/>
        </w:rPr>
        <w:t>E. 5.1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w:t>
      </w:r>
    </w:p>
    <w:p>
      <w:r>
        <w:t>Tribunal cantonal TC Page 7 de 14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w:t>
      </w:r>
    </w:p>
    <w:p>
      <w:r>
        <w:rPr>
          <w:b/>
        </w:rPr>
        <w:t>E. 5.2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rPr>
          <w:b/>
        </w:rPr>
        <w:t>E. 5.3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w:t>
      </w:r>
    </w:p>
    <w:p>
      <w:r>
        <w:t>Tribunal cantonal TC Page 8 de 14 et 3.3). Aussi n'existe-t-il pas, en droit des assurances sociales, un principe selon lequel l'administration ou le juge devrait statuer, dans le doute, en faveur de l'assuré (ATF 126 V 322 consid. 5a).</w:t>
      </w:r>
    </w:p>
    <w:p>
      <w:r>
        <w:rPr>
          <w:b/>
        </w:rPr>
        <w:t>E. 6</w:t>
      </w:r>
    </w:p>
    <w:p>
      <w:r>
        <w:t>Problématique Sont litigieuses la capacité de gain résiduelle du recourant, l’évaluation du taux d’invalidité et l’estimation de l’IPAI. Aux dires de l’autorité intimée, le recourant serait en mesure de travailler dans une activité adaptée et ne subirait aucune perte de gain. De plus, l’IPAI s’élèverait à 10%. Selon l’intéressé toutefois, aucun rapport probant n’établirait la pleine capacité de travail. Le droit à une rente serait ouvert et l’IPAI aurait été sous-évaluée. Qu’en est-il ?</w:t>
      </w:r>
    </w:p>
    <w:p>
      <w:r>
        <w:rPr>
          <w:b/>
        </w:rPr>
        <w:t>E. 7</w:t>
      </w:r>
    </w:p>
    <w:p>
      <w:r>
        <w:t>Situation personnelle</w:t>
      </w:r>
    </w:p>
    <w:p>
      <w:r>
        <w:rPr>
          <w:b/>
        </w:rPr>
        <w:t>E. 7.1</w:t>
      </w:r>
    </w:p>
    <w:p>
      <w:r>
        <w:t>Le recourant est séparé et père de deux enfants nés en 2004 et en 2018 (doc. 101).</w:t>
      </w:r>
    </w:p>
    <w:p>
      <w:r>
        <w:rPr>
          <w:b/>
        </w:rPr>
        <w:t>E. 7.2</w:t>
      </w:r>
    </w:p>
    <w:p>
      <w:r>
        <w:t>Il travaille depuis 2011 en qualité d’opérateur logistique à 100% (doc. 1). Après ses opérations en 2015 et 2017, il a été en mesure de reprendre son travail à plein temps (doc. 16, 25, 30, 44, 46, 53, 90, 114). Suite à la 3e opération toutefois, il n’a pu reprendre son activité qu’à 80%.</w:t>
      </w:r>
    </w:p>
    <w:p>
      <w:r>
        <w:rPr>
          <w:b/>
        </w:rPr>
        <w:t>E. 8</w:t>
      </w:r>
    </w:p>
    <w:p>
      <w:r>
        <w:t>Accident du 3 août 2014 et évolution médicale Le 3 août 2014, le recourant est tombé dans les escaliers à son domicile, se blessant au genou gauche (déclaration de sinistre du 2 octobre 2014, doc. 1). Une probable contusion et une entorse du genou gauche ont été diagnostiqués. Dans le cadre des investigations médicales qui ont suivi, les médecins ont mis en évidence des antécédents opératoires (pour un kyste para-méniscal) et des troubles maladifs (dégénération du ménisque, patella alta avec troubles dégénératifs, signes de gonarthrose, etc.) (cf. not. doc. 2 et 3).</w:t>
      </w:r>
    </w:p>
    <w:p>
      <w:r>
        <w:rPr>
          <w:b/>
        </w:rPr>
        <w:t>E. 8.1</w:t>
      </w:r>
    </w:p>
    <w:p>
      <w:r>
        <w:t>En début d’année, le Dr B.________, spécialiste en chirurgie orthopédique et traumatologie de l'appareil locomoteur, a diagnostiqué une lésion du ménisque externe sous forme de désinsertion complète de la corne postérieure et une chondropathie fémoro-patellaire genou gauche (doc. 22).</w:t>
      </w:r>
    </w:p>
    <w:p>
      <w:r>
        <w:rPr>
          <w:b/>
        </w:rPr>
        <w:t>E. 8.2</w:t>
      </w:r>
    </w:p>
    <w:p>
      <w:r>
        <w:t>Le 3 mars 2015, il a opéré une première fois le recourant (arthroscopie du genou gauche, lissage cartilagineux, suture ménisque externe, drain).</w:t>
      </w:r>
    </w:p>
    <w:p>
      <w:r>
        <w:t>Tribunal cantonal TC Page 9 de 14</w:t>
      </w:r>
    </w:p>
    <w:p>
      <w:r>
        <w:rPr>
          <w:b/>
        </w:rPr>
        <w:t>E. 8.3</w:t>
      </w:r>
    </w:p>
    <w:p>
      <w:r>
        <w:t>Le 4 mai 2015, le Dr C.________, spécialiste en chirurgie orthopédique et traumatologie de l'appareil locomoteur et médecin-conseil de l’assurance, a estimé que la lésion méniscale et l’intervention du 3 mars 2015 étaient liées à l’accident d’août 2014 (doc. 26).</w:t>
      </w:r>
    </w:p>
    <w:p>
      <w:r>
        <w:rPr>
          <w:b/>
        </w:rPr>
        <w:t>E. 8.4</w:t>
      </w:r>
    </w:p>
    <w:p>
      <w:r>
        <w:t>Le 15 septembre 2015, le traitement médical a pris fin (rapport du 18 janvier 2016, doc. 34).</w:t>
      </w:r>
    </w:p>
    <w:p>
      <w:r>
        <w:rPr>
          <w:b/>
        </w:rPr>
        <w:t>E. 8.5</w:t>
      </w:r>
    </w:p>
    <w:p>
      <w:r>
        <w:t>En été 2016 toutefois, le Dr B.________ a indiqué que le recourant se plaignait d’une tuméfaction au genou gauche, de lâchages et de douleurs nocturnes (rapport du 23 août 2016, doc. 35). Une IRM du genou a mis en évidence une petite fissure triangulaire de la corne postérieure du ménisque externe, de petites lésions kystiques, une patella alta modérément subluxée et une chondropathie fémoro-patellaire (rapport du 8 septembre 2016, doc. 36).</w:t>
      </w:r>
    </w:p>
    <w:p>
      <w:r>
        <w:rPr>
          <w:b/>
        </w:rPr>
        <w:t>E. 8.6</w:t>
      </w:r>
    </w:p>
    <w:p>
      <w:r>
        <w:t>En été 2017, le Dr B.________ a constaté une lésion récidivante massive du ménisque externe qui s’était détaché sur quasi toute sa longueur, une lésion du ménisque interne sous forme d’adhérence de la corne antérieure qui soulevait le ménisque, une chondropathie multifocale, une synovite accompagnante et du matériel de suture libre (rapport du 13 juin 2017, doc. 43).</w:t>
      </w:r>
    </w:p>
    <w:p>
      <w:r>
        <w:rPr>
          <w:b/>
        </w:rPr>
        <w:t>E. 8.7</w:t>
      </w:r>
    </w:p>
    <w:p>
      <w:r>
        <w:t>Le 13 juin 2017, il a opéré une seconde fois le recourant (méniscectomie quasi-totale du ménisque externe, ablation des restes de suture et d’ancre, synovectomie, toilette cartilagineuse, drain).</w:t>
      </w:r>
    </w:p>
    <w:p>
      <w:r>
        <w:rPr>
          <w:b/>
        </w:rPr>
        <w:t>E. 8.8</w:t>
      </w:r>
    </w:p>
    <w:p>
      <w:r>
        <w:t>Le 19 décembre 2017, le médecin a relevé que le recourant ne parvenait que difficilement à assumer son travail qu’il avait repris à 100% et qu’il souffrait de douleurs et d’un épanchement (doc. 54).</w:t>
      </w:r>
    </w:p>
    <w:p>
      <w:r>
        <w:rPr>
          <w:b/>
        </w:rPr>
        <w:t>E. 8.9</w:t>
      </w:r>
    </w:p>
    <w:p>
      <w:r>
        <w:t>Le 1er mai 2018, il a indiqué que le traitement physiothérapeutique était terminé, mais que des douleurs persistaient (doc. 55).</w:t>
      </w:r>
    </w:p>
    <w:p>
      <w:r>
        <w:rPr>
          <w:b/>
        </w:rPr>
        <w:t>E. 8.10</w:t>
      </w:r>
    </w:p>
    <w:p>
      <w:r>
        <w:t>Le 23 juillet 2019, le Dr B.________ a diagnostiqué une gonarthrose externe débutante, le recourant se plaignant d’une persistance des douleurs au genou gauche malgré le port d’une attelle (doc. 69. Cf. ég. rapport du 25 novembre 2019, doc. 73). Le 3 septembre 2020, une IRM du genou gauche a mis en évidence une patella alta légèrement subluxée au niveau externe, une chondropathie patellaire et de la gorge de la trochlée et des remaniements dégénératifs fémoro-tibiaux externes (doc. 81).</w:t>
      </w:r>
    </w:p>
    <w:p>
      <w:r>
        <w:rPr>
          <w:b/>
        </w:rPr>
        <w:t>E. 8.11</w:t>
      </w:r>
    </w:p>
    <w:p>
      <w:r>
        <w:t>Le 14 octobre 2020, le Dr B.________ a opéré une troisième fois le recourant, implantant une prothèse unicompartimentale (PUC) externe du genou gauche (doc. 89).</w:t>
      </w:r>
    </w:p>
    <w:p>
      <w:r>
        <w:rPr>
          <w:b/>
        </w:rPr>
        <w:t>E. 8.12</w:t>
      </w:r>
    </w:p>
    <w:p>
      <w:r>
        <w:t>Le 16 mars 2021, le Dr C.________ a confirmé que l’incapacité subie était toujours en lien avec l’accident de 2014, et cela pour une durée de 6 mois après l’intervention (doc. 93). Un retour durable dans une activité debout nécessitant de longs déplacements, des déplacements en terrain accidenté, la montée et descente répétée d’escaliers, les positions accroupies et à genoux et le port de charges lourdes pouvait être compromis. S’agissant de l’IPAI, le médecin a estimé qu’il était trop tôt pour se prononcer, mais a proposé de réserver le taux de 25%.</w:t>
      </w:r>
    </w:p>
    <w:p>
      <w:r>
        <w:t>Tribunal cantonal TC Page 10 de 14</w:t>
      </w:r>
    </w:p>
    <w:p>
      <w:r>
        <w:rPr>
          <w:b/>
        </w:rPr>
        <w:t>E. 8.13</w:t>
      </w:r>
    </w:p>
    <w:p>
      <w:r>
        <w:t>Le 16 juin 2021, le Dr B.________ a relevé que le patient avait terminé la physiothérapie, mais qu’il rapportait encore des difficultés à se lever d’une position assise et d’un manque de musculature et de force (doc. 100).</w:t>
      </w:r>
    </w:p>
    <w:p>
      <w:r>
        <w:rPr>
          <w:b/>
        </w:rPr>
        <w:t>E. 8.14</w:t>
      </w:r>
    </w:p>
    <w:p>
      <w:r>
        <w:t>Le 13 octobre 2021, il a indiqué que le recourant se plaignait encore de persistances de douleurs après l’effort et d’une sensation d’insécurité (doc. 103). Le recourant se déplaçait avec une genouillère et faisait des auto-exercices, mais plus aucun rendez-vous médical n’était prévu. Le médecin a attesté d’une capacité de 80% jusqu’à la fin décembre 2021 et a indiqué qu’un éventuel aménagement de la place de travail était à discuter. Il persistait à long terme une diminution de la force et de la mobilité.</w:t>
      </w:r>
    </w:p>
    <w:p>
      <w:r>
        <w:rPr>
          <w:b/>
        </w:rPr>
        <w:t>E. 8.15</w:t>
      </w:r>
    </w:p>
    <w:p>
      <w:r>
        <w:t>Le 10 novembre 2021, le Dr C.________ a proposé une IPAI de 10% (doc. 104). Il a expliqué que, selon table 5.2 des barèmes pour atteinte à l’indemnité, une arthrose fémoro-tibiale de gravité moyenne était indemnisée à un taux de 5-10%, tandis qu’une arthrose grave était évaluée à 15-30%. Il a ainsi pris une moyenne de 15% et a soustrait de ce montant un taux de 5% pour tenir compte de l’état antérieur.</w:t>
      </w:r>
    </w:p>
    <w:p>
      <w:r>
        <w:rPr>
          <w:b/>
        </w:rPr>
        <w:t>E. 8.16</w:t>
      </w:r>
    </w:p>
    <w:p>
      <w:r>
        <w:t>Le 19 novembre 2021, il s’est prononcé sur l’état de santé de l’intéressé (doc. 104). S’entretenant avec le recourant, il a retenu que celui-ci se plaignait de douleurs mécaniques de mise en route, à la mobilisation du genou en flexion, à la marche à plat ainsi que dans les escaliers et les pentes. Dites douleurs n’étaient pas présentes la nuit ou au repos, n’étaient ni insomniantes ni météo-dépendantes. Une discrète tuméfaction permanente serait visible et augmentait le soir et à l’effort, et la mobilité était légèrement diminuée en flexion. Le recourant a cependant indiqué qu’il pouvait marcher pendant 3 heures, se déplacer dans les escaliers sur 3 étages et porter des charges jusqu’à 25 kg. Il appliquait localement un gel trois fois par semaine, portait une orthèse articulée pour le travail et une genouillère pour les activités quotidiennes. Sur cette base, le médecin a estimé que la capacité actuelle à 80% était justifiée jusqu’à la fin de l’année 2021. Par la suite, le recourant pouvait retravailler à plein temps dans son activité habituelle. Si cette reprise ne devait pas être effective, une pleine capacité était exigible dans une activité sans position en porte-à-faux du membre inférieur gauche, sans position à genoux ou accroupie, sans utilisation répétée d’escaliers, sans déplacement en terrain accidenté et sans port de charges lourdes.</w:t>
      </w:r>
    </w:p>
    <w:p>
      <w:r>
        <w:rPr>
          <w:b/>
        </w:rPr>
        <w:t>E. 8.17</w:t>
      </w:r>
    </w:p>
    <w:p>
      <w:r>
        <w:t>Le 21 février 2022, GMA SA a mis un terme au paiement des indemnités journalières au 30 avril 2022, a refusé l’octroi d’une rente d’invalidité et a accordé une IPAI de 10% (doc. 105). Il a confirmé sa décision le 3 octobre 2022 (doc. 120).</w:t>
      </w:r>
    </w:p>
    <w:p>
      <w:r>
        <w:rPr>
          <w:b/>
        </w:rPr>
        <w:t>E. 8.18</w:t>
      </w:r>
    </w:p>
    <w:p>
      <w:r>
        <w:t>Le 29 octobre 2022, le Dr D.________, spécialiste en médecine interne générale, a estimé qu’une reprise d’emploi était illusoire, relevant que le Dr B.________ attestait toujours d’une incapacité de travail de 20% (pièce 27 du bordereau de recours).</w:t>
      </w:r>
    </w:p>
    <w:p>
      <w:r>
        <w:t>Tribunal cantonal TC Page 11 de 14 De plus, malgré des activités déjà bien allégées par l’employeur, le recourant était toujours gêné au niveau du genou gauche qui gonflait et lâchait surtout en fin de journée. Le médecin a estimé que toutes les limitations retenues étaient exactes, mais a soutenu qu’il en existait d’autres en lien avec le temps de travail. Le genou se fatiguait et le recourant souffrait au fil des heures, à un point tel que sa vie devenait toujours plus difficile. Des douleurs nocturnes et un inconfort global étaient majorés par rapport à une journée sans travail, le « facteur d’épuisement » du membre lésé étant d’ailleurs souvent ignoré par les experts car difficilement quantifiable.</w:t>
      </w:r>
    </w:p>
    <w:p>
      <w:r>
        <w:rPr>
          <w:b/>
        </w:rPr>
        <w:t>E. 9</w:t>
      </w:r>
    </w:p>
    <w:p>
      <w:r>
        <w:t>Discussion au sujet de la capacité de gain A la lecture de ce qui précède, il ne fait aucun doute que le recourant est en mesure de travailler à 100% dans une activité adaptée. Rien dans le dossier ne permet de remettre cette conclusion en question.</w:t>
      </w:r>
    </w:p>
    <w:p>
      <w:r>
        <w:rPr>
          <w:b/>
        </w:rPr>
        <w:t>E. 9.1</w:t>
      </w:r>
    </w:p>
    <w:p>
      <w:r>
        <w:t>Celle-ci a été émise par le médecin-conseil C.________ dans son expertise du 19 novembre 2021. Ce rapport est, contrairement à ce que soutient le recourant, tout à fait pertinent. Le médecin-conseil connait bien le dossier puisqu’il a été appelé à se prononcer à plusieurs reprises à ce sujet. Il a exposé les sources utilisées pour son rapport et s’est entretenu avec le recourant, l’interrogeant sur ses troubles et sur son quotidien. Il a procédé à différents examens et a exposé de manière claire et convaincante ses conclusions. Son évaluation de la capacité de travail est de plus tout à fait cohérente au regard des limitations qu’il a mises en évidence.</w:t>
      </w:r>
    </w:p>
    <w:p>
      <w:r>
        <w:rPr>
          <w:b/>
        </w:rPr>
        <w:t>E. 9.2</w:t>
      </w:r>
    </w:p>
    <w:p>
      <w:r>
        <w:t>Ses observations ne sont en outre pas contredites par le Dr B.________. Celui-ci ne s’est certes pas prononcé sur la capacité de travail dans une activité adaptée, mais ses constats au sujet des limitations du recourant ne diffèrent pas de celles déjà constatées par le Dr C.________. En outre, dans la mesure où il atteste d’une capacité de travail élevée (80%) dans l’activité habituelle, on ne saurait douter que le recourant serait en mesure de travailler à plein temps dans une activité qui épargnerait davantage son genou.</w:t>
      </w:r>
    </w:p>
    <w:p>
      <w:r>
        <w:rPr>
          <w:b/>
        </w:rPr>
        <w:t>E. 9.3</w:t>
      </w:r>
    </w:p>
    <w:p>
      <w:r>
        <w:t>Cela concorde avec les différentes déclarations de l’intéressé. Celui-ci fait certes état de douleurs mécaniques (doc. 103 et 104) et présente une discrète boiterie d’épargne (doc. 104). Il est cependant encore très mobile, puisqu’il parvient depuis mai 2021 à travailler à 80% en qualité de logisticien. Selon ses propres déclarations, il est capable de marcher à plat pendant 3 heures, de monter les escaliers sur 3 étages et de porter des charges jusqu’à 25 kg. Dans ces conditions, on ne saurait soutenir que le recourant ne serait plus en mesure de travailler à plein temps dans une activité adaptée.</w:t>
      </w:r>
    </w:p>
    <w:p>
      <w:r>
        <w:t>Tribunal cantonal TC Page 12 de 14</w:t>
      </w:r>
    </w:p>
    <w:p>
      <w:r>
        <w:rPr>
          <w:b/>
        </w:rPr>
        <w:t>E. 9.4</w:t>
      </w:r>
    </w:p>
    <w:p>
      <w:r>
        <w:t>Le Dr D.________ soutient certes qu’une reprise d’emploi serait « illusoire » en raison des problèmes du genou, mais il ne se prononce pas sur la reprise d’un emploi adapté à l’état de santé. Son avis – qui est d’ailleurs minorisé – ne saurait ainsi être suivi, ce d’autant moins que ce médecin ne dispose pas, comme ses confrères, d’une spécialisation en chirurgie orthopédique et traumatologie de l'appareil locomoteur.</w:t>
      </w:r>
    </w:p>
    <w:p>
      <w:r>
        <w:rPr>
          <w:b/>
        </w:rPr>
        <w:t>E. 10</w:t>
      </w:r>
    </w:p>
    <w:p>
      <w:r>
        <w:t>Discussion au sujet du taux d’invalidité Il convient à présent de définir les montants retenus à titre de revenus avec et sans invalidité afin de calculer le taux d’invalidité.</w:t>
      </w:r>
    </w:p>
    <w:p>
      <w:r>
        <w:rPr>
          <w:b/>
        </w:rPr>
        <w:t>E. 10.1</w:t>
      </w:r>
    </w:p>
    <w:p>
      <w:r>
        <w:t>Revenu d’invalide Le recourant étant en mesure d’exercer une activité adaptée, il convient de se baser sur les données salariales de l’Office fédéral des statistiques. La Table TA1 ESS 2020 mentionnant un revenu mensuel de CHF 5'261.00, c’est un revenu annuel de CHF 65'815.10 qui peut être retenu (CHF 5'261.00 / 40 x 41.7 x 12). L’autorité intimée semble hésiter à procéder à un abattement sur ce montant. Dans la décision du 21 février 2022, elle a appliqué une déduction de 10% sur le revenu statistique pour tenir compte des « particularités de [la] situation » (doc. 105). Dans sa décision sur opposition, elle a changé de méthode de calcul et a renoncé à l’abattement. Dans observations du 27 janvier 2023, elle a à nouveau utilisé la Table TA1 ESS 2020 et a une nouvelle fois admis une déduction de 10%, sans toutefois motiver celle-ci. Pour rappel, un abattement est effectué si l’invalide présente certains empêchements propres à sa personne, lorsqu'il existe des indices que, en raison d'un ou de plusieurs facteurs, l’intéressé ne peut mettre en valeur sa capacité résiduelle de travail sur le marché du travail qu'avec un résultat économique inférieur à la moyenne. Or, dans le cas d’espèce, on peine à comprendre pourquoi un abattement devrait être appliqué. Le recourant ne bénéficie certes d’aucune formation de base, mais il dispose du brevet de cariste et travaille depuis plus de 10 ans au sein de la même entreprise. Il dispose ainsi des ressources et d'une expérience suffisantes pour surmonter ses difficultés et assumer l’exercice d’un emploi adapté sur un marché équilibré du travail. On ne saurait de plus estimer que l’âge du recourant serait un obstacle à la recherche d’un emploi. Partant, il est retenu que le salaire d’invalide s’élève à CHF 65'815.10 selon les données statistiques et qu’un abattement n’est pas justifié dans le cas d’espèce.</w:t>
      </w:r>
    </w:p>
    <w:p>
      <w:r>
        <w:rPr>
          <w:b/>
        </w:rPr>
        <w:t>E. 10.2</w:t>
      </w:r>
    </w:p>
    <w:p>
      <w:r>
        <w:t>Revenu de valide Le recourant travaille actuellement à 80% dans l’entreprise qui l’emploie depuis 2011. Sans atteinte à l’invalidité, il aurait poursuivi cette même activité à 100%.</w:t>
      </w:r>
    </w:p>
    <w:p>
      <w:r>
        <w:t>Tribunal cantonal TC Page 13 de 14 Le 1er janvier 2022, soit à la date à laquelle le recourant a retrouvé sa capacité de gain, le recourant aurait reçu, à 100%, un salaire brut de CHF 4'568.00 (13x), une indemnité de fonction de CHF 250.00 (12x) et une participation à la caisse-maladie de CHF 130.00 (12x). Partant, c’est au moins un revenu de CHF 63'944.00 qui doit être retenu. Le recourant estime pour sa part, dans son écriture du 7 mars 2023, qu’il conviendrait de retenir un salaire de CHF 4'637.00 (montant qu’il recevait dès mai 2022, 13x), augmenté de l’indemnité de fonction de CHF 250.00 (12x), de la participation à la caisse-maladie de CHF 130.00 (12x), de la prime annuelle brute de CHF 3'460.00 et de la gratification exceptionnelle de CHF 2'000.00. Il soutient ainsi que c’est un revenu de CHF 70'301.00 qui devrait être retenu. La question de savoir lequel des montants précités doit être privilégié peut cependant, comme il sera expliqué ci-dessous, être laissée ouverte.</w:t>
      </w:r>
    </w:p>
    <w:p>
      <w:r>
        <w:rPr>
          <w:b/>
        </w:rPr>
        <w:t>E. 10.3</w:t>
      </w:r>
    </w:p>
    <w:p>
      <w:r>
        <w:t>Calcul du taux d’invalidité En effet, au vu de ce qui précède, le recourant n’aurait dans tous les cas pas droit à une rente LAA. Même si l’on se basait sur les chiffres fournis par l’intéressé et que l’on retenait un revenu de valide de CHF 70'301.00, la perte de gain ne s’élèverait, en comparaison avec le revenu d’invalide de CHF 65'815.10, qu’à 6%. Or, ce montant est loin du seuil minimal de 10% ouvrant le droit à une rente LAA. Partant, sur ce point, le recours doit être rejeté.</w:t>
      </w:r>
    </w:p>
    <w:p>
      <w:r>
        <w:rPr>
          <w:b/>
        </w:rPr>
        <w:t>E. 11</w:t>
      </w:r>
    </w:p>
    <w:p>
      <w:r>
        <w:t>Discussion au sujet de l’IPAI L’autorité intimée a fixé l’IPAI à 10%, suivant ainsi l’appréciation de médecin-conseil. Celui-ci s’est basé sur la table 5.2 des barèmes pour atteinte à l’indemnité, et a d’abord retenu un taux de 15% correspondant à la moyenne attribuée à une arthrose fémoro-tibiale de gravité moyenne (5-10%) et une arthrose grave (15-30%), avant de soustraire un taux de 5% pour tenir compte de l’état de santé antérieur du recourant (doc. 104). Ce raisonnement ne prête pas le flanc à la critique. L’intéressé conteste certes ce taux, mais n’apporte aucun élément concret qui permettrait de le remettre en question. Il estime ainsi que l’influence de l’état antérieur a été surévaluée, mais rien n’indique que tel soit le cas. Il soutient également que le médecin-conseil n’a pas tenu compte d’une aggravation prévisible mais ne remet pas de rapport médical qui indiquerait qu’une telle aggravation soit attendue à l’avenir. Enfin, il soutient que, mathématiquement parlant, la moyenne du taux pour une arthrose moyenne (5-15%) et grave (15-30%) se situe à 16.50% et non à 15%, mais on ne saurait pour cela revoir le taux indiqué par le médecin. Ce dernier grief est ainsi également écarté.</w:t>
      </w:r>
    </w:p>
    <w:p>
      <w:r>
        <w:t>Tribunal cantonal TC Page 14 de 14</w:t>
      </w:r>
    </w:p>
    <w:p>
      <w:r>
        <w:rPr>
          <w:b/>
        </w:rPr>
        <w:t>E. 12</w:t>
      </w:r>
    </w:p>
    <w:p>
      <w:r>
        <w:t>Synthèse, frais et dépens Au vu de tout ce qui précède, le recours est rejeté. La procédure étant gratuite dans la mesure où elle tend à l’octroi de prestations, il n’est pas perçu de frais de justice. Aucune indemnité de partie n’est enfin allouée au recourant qui succombe. la Cour arrête : I. Le recours est rejeté.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juillet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