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98 vom 6. September 2022</w:t>
      </w:r>
    </w:p>
    <w:p>
      <w:r>
        <w:t>FR Kantonsgericht, 2022-09-06, FR</w:t>
      </w:r>
    </w:p>
    <w:p>
      <w:r>
        <w:rPr>
          <w:b/>
        </w:rPr>
        <w:t xml:space="preserve">Quelle: </w:t>
      </w:r>
      <w:r>
        <w:t>https://mcp.opencaselaw.ch/entscheid/fr_gerichte_605_2021_98</w:t>
      </w:r>
    </w:p>
    <w:p>
      <w:r>
        <w:t>FR: FR_GERICHTE 605 2021 98 du 6 septembre 2022</w:t>
      </w:r>
    </w:p>
    <w:p>
      <w:r>
        <w:t>IT: FR_GERICHTE 605 2021 98 del 6 settembre 2022</w:t>
      </w:r>
    </w:p>
    <w:p>
      <w:pPr>
        <w:pStyle w:val="Heading2"/>
      </w:pPr>
      <w:r>
        <w:t>Regeste</w:t>
      </w:r>
    </w:p>
    <w:p>
      <w:r>
        <w:t>Arrêt de la Ie Cour des assurances sociales du Tribunal cantonal | Unfallversicherung</w:t>
      </w:r>
    </w:p>
    <w:p>
      <w:pPr>
        <w:pStyle w:val="Heading2"/>
      </w:pPr>
      <w:r>
        <w:t>Erwägungen</w:t>
      </w:r>
    </w:p>
    <w:p>
      <w:r>
        <w:rPr>
          <w:b/>
        </w:rPr>
        <w:t>E. 2</w:t>
      </w:r>
    </w:p>
    <w:p>
      <w:r>
        <w:t>Prestations LAA et passage au régime du droit à la rente LAA</w:t>
      </w:r>
    </w:p>
    <w:p>
      <w:r>
        <w:rPr>
          <w:b/>
        </w:rPr>
        <w:t>E. 2.1</w:t>
      </w:r>
    </w:p>
    <w:p>
      <w:r>
        <w:t>En vertu de l'art. 6 al. 1 LAA, les prestations d'assurance sont allouées en cas d'accident professionnel, d'accident non professionnel et de maladie professionnelle. Dans le catalogue des prestations de l'assurance-accidents figurent notamment le droit au traitement médical (art. 10 et 54 LAA), le droit à l'indemnité journalière (art. 16 LAA) et le droit à une rente d'invalidité (art. 18 et 19 LAA). L'assuré totalement ou partiellement incapable de travailler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w:t>
      </w:r>
    </w:p>
    <w:p>
      <w:r>
        <w:rPr>
          <w:b/>
        </w:rPr>
        <w:t>E. 2.2</w:t>
      </w:r>
    </w:p>
    <w:p>
      <w:r>
        <w:t>Le droit à la rente prend naissance dès qu'il n'y a plus lieu d'attendre de la continuation du traitement médical une sensible amélioration de l'état de santé de l'assuré et que les éventuelles mesures de réadaptation de l'assurance-invalidité ont été menées à terme ; le droit au traitement médical et aux indemnités journalières cesse dès la naissance du droit à la rente (art. 19 al. 1 LAA). De jurisprudence constante, cela signifie que l'assuré a un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(arrêt TF 8C_403/2011 du 11 octobre 2011 consid. 3.1.1 ; ATF 134 V 109 consid. 4.1 et les références citées). Ce qu'il faut entendre par « sensible amélioration de l'état de santé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w:t>
      </w:r>
    </w:p>
    <w:p>
      <w:r>
        <w:t>Tribunal cantonal TC Page 6 de 14</w:t>
      </w:r>
    </w:p>
    <w:p>
      <w:r>
        <w:rPr>
          <w:b/>
        </w:rPr>
        <w:t>E. 2.3</w:t>
      </w:r>
    </w:p>
    <w:p>
      <w:r>
        <w:t>L'art. 19 al. 3 LAA prévoit que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En application de cette disposition, le Conseil fédéral a édicté l'art. 30 de l’ordonnance du 20 décembre 1982 sur l’assurance-accidents (OLAA ; RS 832.202). Selon son al. 1,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 cette rente est calculée sur la base de l'incapacité de gain existant à ce moment-là. Le droit s'éteint dès la naissance du droit à une indemnité journalière de l'AI (let. a), avec la décision négative de l'AI concernant la réadaptation professionnelle (let. b) ou avec la fixation de la rente définitive (let. c).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sans attendre ce résultat. C'est donc une prestation temporaire, fixée provisoirement, et qui doit être allouée aussi bien pendant le déroulement des mesures de réadaptation de l'assurance-invalidité que pendant la période qui va de la fin du traitement médical jusqu'au moment où la décision est prise quant à d'éventuelles mesures de réadaptation, cas échéant à la mise en œuvre de celles-ci (arrêt TF U 331/04 du 31 octobre 2005 consid. 2.2 et ATF 139 V 514 consid. 2.3). Cette rente, allouée à titre transitoire et jusqu'au moment où, à l'issue des mesures de réadaptation, il sera possible de fixer de façon certaine le degré d'invalidité de l'assuré, ne doit pas être confondue avec la rente allouée à titre temporaire, sur la base d'une appréciation anticipée de l'invalidité en fonction de l'accoutumance prévisible de l'assuré aux séquelles de l'accident. La différence réside dans le fait que, dans le cas de la rente temporaire, seule l'activité qui peut raisonnablement être exigée de la part d'un assuré non encore réadapté, compte tenu d'une situation équilibrée du marché du travail, est prise en considération (ATF 116 V 246 consid. 2b). Enfin, la jurisprudence a eu l'occasion de préciser que, par décision négative de l'AI concernant la réadaptation professionnelle, au sens de l'art. 30 al. 1 let. b OLAA, il faut comprendre une décision exécutoire (ATF 129 V 283 consid. 4.4).</w:t>
      </w:r>
    </w:p>
    <w:p>
      <w:r>
        <w:rPr>
          <w:b/>
        </w:rPr>
        <w:t>E. 3</w:t>
      </w:r>
    </w:p>
    <w:p>
      <w:r>
        <w:t>Notion d’invalidité et calcul du taux ouvrant le droit à la rente Selon l'art. 18 al. 1 LAA, si l'assuré est invalide à 10% au moins par suite d'un accident, il a droit à une rente d'invalidité. Est réputée invalidité l'incapacité de gain totale ou partielle qui est présumée permanente ou de longue durée (art. 8 de la loi fédérale du 6 octobre 2000 sur la partie générale du droit des assurances sociales [LPGA ; RS 830.1]). Il découle de cette notion d'invalidité que ce n'est pas l'atteinte à la santé en soi qui est assurée ; ce sont bien plutôt les conséquences économiques de celle-ci, c'est-à-dire une incapacité de gain qui sera probablement permanente ou du moins de longue durée (ATF 127 V 294).</w:t>
      </w:r>
    </w:p>
    <w:p>
      <w:r>
        <w:t>Tribunal cantonal TC Page 7 de 14</w:t>
      </w:r>
    </w:p>
    <w:p>
      <w:r>
        <w:rPr>
          <w:b/>
        </w:rPr>
        <w:t>E. 3.1</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w:t>
      </w:r>
    </w:p>
    <w:p>
      <w:r>
        <w:rPr>
          <w:b/>
        </w:rPr>
        <w:t>E. 3.2</w:t>
      </w:r>
    </w:p>
    <w:p>
      <w:r>
        <w:t>et 3.3). Aussi n'existe-t-il pas, en droit des assurances sociales, un principe selon lequel l'administration ou le juge devrait statuer, dans le doute, en faveur de l'assuré (ATF 126 V 322 consid. 5a).</w:t>
      </w:r>
    </w:p>
    <w:p>
      <w:r>
        <w:t>Tribunal cantonal TC Page 11 de 14</w:t>
      </w:r>
    </w:p>
    <w:p>
      <w:r>
        <w:rPr>
          <w:b/>
        </w:rPr>
        <w:t>E. 3.3</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p. 421 n. 286).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citées, in VSI 1998 p. 293).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w:t>
      </w:r>
    </w:p>
    <w:p>
      <w:r>
        <w:rPr>
          <w:b/>
        </w:rPr>
        <w:t>E. 3.4</w:t>
      </w:r>
    </w:p>
    <w:p>
      <w:r>
        <w:t>S’agissant de l'exigibilité d'un changement d'activité professionnelle dans le cadre de l'obligation de diminuer le dommage, dans le domaine de l'assurance-invalidité, on applique de</w:t>
      </w:r>
    </w:p>
    <w:p>
      <w:r>
        <w:t>Tribunal cantonal TC Page 8 de 14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(arrêt TF 9C_36 2018 du 17 mai 2018 consid. 4.2). Selon la jurisprudence (arrêt TF 9C_236/2009 du 7 octobre 2009 consid. 4.2, in SVR 2010 IV n° 11 p. 35),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TF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TF 9C_36/2018 du 17 mai 2018 consid. 4.2 et les références citées). De jurisprudence constante, ce n'est qu'à des conditions strictes que l'on peut considérer qu'un changement d'activité professionnelle, singulièrement la cessation d'une activité agricole, ne constitue pas une mesure raisonnablement exigible de l'assuré; en particulier, l'activité exercée jusqu'alors ne doit pas être poursuivie aux coûts de l'assurance, même si l'intéressé effectue un travail d'une certaine importance économique (arrêt TF 9C_36/2018 du 17 mai 2018 consid. 4.2 et les références citées).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9C_98/2021 du 31 mai 2021 consid. 5.2).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(arrêt TF 9C_774/2016 du 30 juin 2017 consid. 5.2). Le Tribunal fédéral a toutefois reconnu que lorsqu'il s'agit d'évaluer l'invalidité d’une personne assurée qui se trouve proche de l'âge donnant droit à une rente de vieillesse, il faut procéder à une</w:t>
      </w:r>
    </w:p>
    <w:p>
      <w:r>
        <w:t>Tribunal cantonal TC Page 9 de 14 analyse globale de la situation et se demander si, de manière réaliste, elle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 voir ég. arrêt TC 608 2019 232 du 14 décembre 2020 consid. 2.4).</w:t>
      </w:r>
    </w:p>
    <w:p>
      <w:r>
        <w:rPr>
          <w:b/>
        </w:rPr>
        <w:t>E. 3.5</w:t>
      </w:r>
    </w:p>
    <w:p>
      <w:r>
        <w:t>Selon la jurisprudence, une rente fondée sur l'art. 30 OLAA doit être fixée d'après la méthode de comparaison des revenus, l'évaluation intervenant dans ce cas avant l'exécution éventuelle de mesures de réadaptation. Seule entre en considération, à cette date, l'activité qui peut raisonnablement être exigée de la part d'un assuré non encore réadapté, compte tenu d'une situation équilibrée du marché du travail (ATF 116 V 246 consid. 2c).</w:t>
      </w:r>
    </w:p>
    <w:p>
      <w:r>
        <w:rPr>
          <w:b/>
        </w:rPr>
        <w:t>E. 4</w:t>
      </w:r>
    </w:p>
    <w:p>
      <w:r>
        <w:t>Appréciation des preuves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 115 V 133 consid. 2 et 114 V 310 consid. 3c).</w:t>
      </w:r>
    </w:p>
    <w:p>
      <w:r>
        <w:rPr>
          <w:b/>
        </w:rPr>
        <w:t>E. 4.1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Le simple fait que le médecin consulté soit lié à l'assureur par un rapport de travail ne permet pas encore de douter de l'objectivité de son appréciation ni de soupçonner une présomption à l'égard de</w:t>
      </w:r>
    </w:p>
    <w:p>
      <w:r>
        <w:t>Tribunal cantonal TC Page 10 de 14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w:t>
      </w:r>
    </w:p>
    <w:p>
      <w:r>
        <w:rPr>
          <w:b/>
        </w:rPr>
        <w:t>E. 4.2</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 VSI 1994 p. 220 consid. 4; comp. ATF 125 III 238 consid. 4a).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w:t>
      </w:r>
    </w:p>
    <w:p>
      <w:r>
        <w:rPr>
          <w:b/>
        </w:rPr>
        <w:t>E. 4.3</w:t>
      </w:r>
    </w:p>
    <w:p>
      <w:r>
        <w:t>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également ATF 130 III 324 s. consid.</w:t>
      </w:r>
    </w:p>
    <w:p>
      <w:r>
        <w:rPr>
          <w:b/>
        </w:rPr>
        <w:t>E. 5</w:t>
      </w:r>
    </w:p>
    <w:p>
      <w:r>
        <w:t>Discussion sur le droit à la rente</w:t>
      </w:r>
    </w:p>
    <w:p>
      <w:r>
        <w:rPr>
          <w:b/>
        </w:rPr>
        <w:t>E. 5.1</w:t>
      </w:r>
    </w:p>
    <w:p>
      <w:r>
        <w:t>Fin des indemnités journalières et décision sur la rente alors que la procédure AI est toujours en cours Le recourant reproche à l'autorité intimée d'avoir rendu sa décision sur le droit à une rente alors que la procédure était toujours en cours par-devant l'OAI. Ce faisant, il fait grief à l'autorité intimée d'avoir violé l'art. 19 LAA puisque les effets des mesures de réadaptation ne sont pas encore connus. Il demande en conséquence que le versement d’indemnités journalières soit repris à partir du 1er juin 2020 (voir recours p. 5). En l'espèce, il ressort toutefois du dossier que l'état de santé du recourant doit bel et bien être considéré comme stabilisé à partir du 31 mai 2020, ce que celui-ci ne conteste du reste pas. L'autorité intimée était dès lors en droit de mettre un terme au versement des indemnités journalières, ce qu'elle a fait par courrier du 1er avril 2020. Il convient par ailleurs de souligner que le recourant ne s'est dans un premier temps pas opposé à la communication de la SUVA relative à la fin de son droit aux indemnités journalières au 31 mai 2020, mais qu’il ne l’a fait que dans son opposition au refus d'une rente d’invalidité le 21 décembre 2020. Certes, au 31 mai 2020, l’OAI n’avait pas encore statué sur le droit du recourant à des mesures de réadaptation, ce qu’il a fait par décision du 24 août 2021 en accordant à celui-ci un prêt auto- amortissable de CHF 31'000.- devant financer l'achat d'une machine-outil CNC d'occasion, ainsi que des mesures d'intervention précoce à hauteur de CHF 20'000.- dans le cadre de diverses formations, frais de transport et installation de la machine en question. C’est la raison pour laquelle, vu les mesures de réadaptation encore à venir, l’autorité intimée a examiné les conditions d'un droit à une rente allouée à titre transitoire jusqu'au terme de ces mesures. Cette façon de procéder correspond à la solution prévue par les art. 19 al. 3 LAA et 30 OLAA. Il convient dès lors de vérifier dans la présente cause de recours si la SUVA était en droit de nier le droit à une rente d’invalidité, sur la base d’une comparaison des revenus évalués avant l'exécution des mesures de réadaptation qui étaient à venir, en fixant notamment le revenu d’invalide d’après le revenu réalisable dans une activité qui pouvait raisonnablement être exigée de la part de son assuré non encore réadapté, compte tenu d'une situation équilibrée du marché du travail (voir notamment ci-dessus consid. 3.5). Ce n’est que dans un deuxième temps que la SUVA, une fois les mesures de réadaptation réalisées, pourrait réexaminer la situation définitive du recourant et rendre une décision à ce sujet. Cela étant, compte tenu de ce qui suit, l'on peine à voir en quoi l'évolution de la situation du recourant pourrait justifier l'octroi d'une rente au fond.</w:t>
      </w:r>
    </w:p>
    <w:p>
      <w:r>
        <w:rPr>
          <w:b/>
        </w:rPr>
        <w:t>E. 5.2</w:t>
      </w:r>
    </w:p>
    <w:p>
      <w:r>
        <w:t>Exigibilité du changement d'activité</w:t>
      </w:r>
    </w:p>
    <w:p>
      <w:r>
        <w:rPr>
          <w:b/>
        </w:rPr>
        <w:t>E. 5.2.1</w:t>
      </w:r>
    </w:p>
    <w:p>
      <w:r>
        <w:t>En l'espèce, le recourant fait également grief à l'autorité intimée de ne pas avoir suffisamment instruit la possibilité pour lui de conserver son emploi actuel, en réorganisant son activité. Il estime que, tant objectivement que subjectivement, il ne peut pas être attendu de sa part qu'il abandonne son activité habituelle au profit d'une nouvelle activité adaptée.</w:t>
      </w:r>
    </w:p>
    <w:p>
      <w:r>
        <w:t>Tribunal cantonal TC Page 12 de 14 Il ne peut être suivi dans son argumentation, dans la mesure où il a lui-même déclaré, dans le cadre d'entretiens les 30 janvier et 6 décembre 2019, ne pas avoir de collaborateurs au sein de son entreprise, l'essentiel de son travail se déroulant sur les chantiers, seules deux ou trois heures par semaine étant consacrées à l'administratif (dossier SUVA, pièces 21 et 76). Dans ces conditions, il paraît effectivement impossible pour le recourant de réorganiser son activité pour aboutir à une activité plus administrative en laissant les tâches physiques à d'autres. C'est dès lors à bon droit que l'autorité intimée a retenu qu'une réorganisation de son entreprise n'était pas possible. Par ailleurs, le recourant n'explique pas pour quelles raisons il ne serait pas en mesure de retrouver une activité salariée, compte tenu de sa très large expérience dans le domaine et de son excellente maîtrise du français et de l'allemand. Il n'indique pas davantage pourquoi ses limitations seraient d'une telle importance qu'elles empêcheraient son engagement. Dans le cas d'espèce, aucun élément au dossier ne permet à la Cour de retenir le contraire. En effet, le recourant se trouvait au moment du prononcé de la décision litigieuse à 8 ans de l'âge donnant droit à une rente AVS, de sorte qu'il ne saurait être considéré comme proche de la retraite. Il n'avait pas non plus atteint l'âge à partir duquel le Tribunal fédéral admet qu'il est peut-être plus difficile de se réinsérer sur le marché du travail (cf. not. arrêt TF 9C_98/2021 du 31 mai 2021 consid. 5.2 et les références). En outre, ses deux CFC, dont un dans le domaine où il exerce son activité depuis bientôt quarante ans, et son excellente maîtrise du français et de l'allemand sont des atouts non négligeables. Par ailleurs, il n’est pas contesté que sa capacité dans une activité adaptée demeure entière et que la gravité des limitations fonctionnelles pour son poignet gauche (pas de ports de charges lourdes, pas de ports de charges moyennes s'ils sont répétitifs et/ou continus, pas d'activités impliquant des appuis prolongés sur le poignet en hyperextension, pas d'activités engendrant des chocs axiaux importants ainsi que des vibrations importantes continues au niveau du poignet), qui n'est pas dominant, doit être relativisée. On peut tout à fait imaginer l'intéressé travailler dans la production légère, et exercer une activité telle que le montage à l'établi, le contrôle des produits finis ou le conditionnement léger.</w:t>
      </w:r>
    </w:p>
    <w:p>
      <w:r>
        <w:rPr>
          <w:b/>
        </w:rPr>
        <w:t>E. 5.2.2</w:t>
      </w:r>
    </w:p>
    <w:p>
      <w:r>
        <w:t>Contrairement à ce qu’il semble affirmer, le fait que le recourant ait exercé son activité durant près de vingt ans dans sa propre entreprise dans le domaine de la charpente n’y change rien. Au contraire, les capacités qu’il a pu développer et l’expérience qu’il a acquise durant ces années dans un métier exigeant exercé de façon autonome constituent des atouts dans un grand nombre d’activités. Il en résulte qu’il est en mesure d'exploiter sa capacité de travail sur le marché du travail équilibré. A cet égard, les mesures de réadaptation envisagées par l’OAI et formellement octroyées par décision du 24 août 2021 – soit une année après la stabilisation de l’état de santé déterminante pour examiner le droit à une rente de l’assurance-accidents – ne s’opposent pas non plus à ce que le taux d’invalidité soit fixé sur la base d’un revenu exigible dans une autre activité adaptée. En effet, s’agissant de l'exigibilité d'un changement d'activité professionnelle dans le cadre de l'obligation de diminuer le dommage, il peut être attendu de la personne assurée qu’elle entreprenne de son propre chef tout ce qu'on peut raisonnablement attendre d’elle, pour atténuer le mieux possible les conséquences de son invalidité, y compris sous l’angle de l’assurance-accidents. Avec pour conséquence qu’elle n'a pas droit à une rente lorsqu'elle serait en mesure, au besoin en changeant de profession, d'obtenir un revenu excluant une invalidité ouvrant droit à une rente de l’assurance-accidents. Le fait qu’elle ait droit à des mesures de réadaptation sous l’angle de l’assurance-invalidité, lui permettant de continuer à exercer son activité habituelle, mais avec un</w:t>
      </w:r>
    </w:p>
    <w:p>
      <w:r>
        <w:t>Tribunal cantonal TC Page 13 de 14 revenu inférieur, ne la libère en particulier pas de son obligation de diminuer le dommage vis-à-vis de l’assurance-accidents. Il en résulte que dans les cas où un assuré, comme le recourant, bénéficie après une atteinte à la santé de mesures de réadaptation de l’assurance-invalidité qui lui permettent de poursuivre son activité habituelle, mais avec une perte de revenu, alors qu’il pourrait réduire cette perte de revenu en changeant d’activité, le revenu d’invalide qu’il est en mesure de réaliser est bien celui qu’il pourrait réaliser dans cette autre activité qui peut être exigée de lui. Retenir le contraire reviendrait en effet à mettre à la charge de l’assurance-accidents le choix de l’assuré consistant à renoncer à un changement d’activité qui lui aurait permis de réaliser un revenu plus élevé qui aurait diminué la perte de gain due à l’accident. En l’espèce, sous l’angle de l’assurance-accidents, c'est donc à raison que l'autorité intimée a estimé qu'il était exigible d'attendre du recourant qu'il change d'emploi pour exercer une activité adaptée qui lui aurait permis de réaliser un revenu d’invalide plus élevé.</w:t>
      </w:r>
    </w:p>
    <w:p>
      <w:r>
        <w:rPr>
          <w:b/>
        </w:rPr>
        <w:t>E. 5.2.3</w:t>
      </w:r>
    </w:p>
    <w:p>
      <w:r>
        <w:t>Enfin, le recourant se méprend également lorsqu'il estime qu'il faudrait tenir compte d'une perte de rendement au vu de son état de santé et des limitations que celui-ci engendre. En effet, ces limitations seront déjà prises en compte dans le choix de l'activité adaptée qu'il pourrait exercer.</w:t>
      </w:r>
    </w:p>
    <w:p>
      <w:r>
        <w:rPr>
          <w:b/>
        </w:rPr>
        <w:t>E. 5.3</w:t>
      </w:r>
    </w:p>
    <w:p>
      <w:r>
        <w:t>Calcul du taux d'invalidité Il a été vu ci-dessus que l’existence d’un droit à une éventuelle rente fondée sur les art. 19 al. 3 LAA et 30 OLAA doit être examinée d'après la méthode de comparaison des revenus, en calculant notamment le revenu d’invalide en fonction de l'activité qui peut raisonnablement être exigée de la part du recourant, en faisant abstraction des éventuelles mesures de réadaptation octroyées par l’assurance-invalidité, compte tenu d'une situation équilibrée du marché du travail. Le recourant ne conteste pas en tant que tels les chiffres retenus par l'autorité intimée tant pour le revenu avant invalidité de CHF 42'222.-, basé sur la moyenne indexée à 2020 des revenus des années 2013 à 2017, antérieures à l'accident du recourant, que pour le revenu d’invalide qu’il pourrait réaliser dans une activité adaptée, fixé à CHF 71'497.- sur la base de l'ESS (salaire réalisé par un homme dans le secteur privé, avec un niveau de compétence 2). Ces calculs se fondent sur les éléments figurant au dossier et sur les normes statistiques usuelles. Ils paraissent en tous points conformes aux règles rappelées ci-dessus et peuvent dès lors être confirmés, sans qu’il soit nécessaire de les examiner plus en détail. Sur le vu de l’ensemble de ce qui précède, la comparaison des revenus avec et sans invalidité ne fait ressortir aucune perte de gain. Il doit dès lors être confirmé que les conditions pour l’octroi d’une rente d’invalidité – allouée à titre transitoire au sens des art. 19 al. 3 LAA et 30 OLAA – ne sont pas remplies. C’est en conséquence à bon droit que la SUVA a nié le droit du recourant à une rente d’invalidité de l’assurance-accidents.</w:t>
      </w:r>
    </w:p>
    <w:p>
      <w:r>
        <w:t>Tribunal cantonal TC Page 14 de 14</w:t>
      </w:r>
    </w:p>
    <w:p>
      <w:r>
        <w:rPr>
          <w:b/>
        </w:rPr>
        <w:t>E. 6</w:t>
      </w:r>
    </w:p>
    <w:p>
      <w:r>
        <w:t>Sort du recours et frais</w:t>
      </w:r>
    </w:p>
    <w:p>
      <w:r>
        <w:rPr>
          <w:b/>
        </w:rPr>
        <w:t>E. 6.1</w:t>
      </w:r>
    </w:p>
    <w:p>
      <w:r>
        <w:t>Mal fondé, le recours doit être rejeté dans la mesure de sa recevabilité et, partant, la décision sur opposition du 1er avril 2021 confirmée.</w:t>
      </w:r>
    </w:p>
    <w:p>
      <w:r>
        <w:rPr>
          <w:b/>
        </w:rPr>
        <w:t>E. 6.2</w:t>
      </w:r>
    </w:p>
    <w:p>
      <w:r>
        <w:t>Conformément au principe de gratuité applicable aux procédures concernant des litiges en matière de prestations de l’assurance-accidents (voir art. 61 let. fbis LPGA), il n'est pas perçu de frais de procédure.</w:t>
      </w:r>
    </w:p>
    <w:p>
      <w:r>
        <w:rPr>
          <w:b/>
        </w:rPr>
        <w:t>E. 6.3</w:t>
      </w:r>
    </w:p>
    <w:p>
      <w:r>
        <w:t>Vu le sort du recours, le recourant n’a pas droit à des dépens. Il en va de même de la SUVA qui, en tant qu'assureur social, n'a pas droit à des dépens dès lors qu'il ne peut pas vraiment être reproché au recourant d'avoir interjeté recours à la légère (ATF 128 V 323; 126 V 143 consid. 4a). la Cour arrête : I. Le recours est rejeté, dans la mesure où il est recevable. II. S’agissant de la question du droit du recourant à des indemnités journalières pour la période du 2 septembre au 14 octobre 2019, la cause est transmise à la SUVA pour qu’elle rende une décision. III. Il n'est pas perçu de frais de procédure.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6 septembre 2022/msu/mbl Le Président :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