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32 vom 21. November 2021</w:t>
      </w:r>
    </w:p>
    <w:p>
      <w:r>
        <w:t>FR Kantonsgericht, 2021-11-21, FR</w:t>
      </w:r>
    </w:p>
    <w:p>
      <w:r>
        <w:rPr>
          <w:b/>
        </w:rPr>
        <w:t xml:space="preserve">Quelle: </w:t>
      </w:r>
      <w:r>
        <w:t>https://mcp.opencaselaw.ch/entscheid/fr_gerichte_605_2021_32</w:t>
      </w:r>
    </w:p>
    <w:p>
      <w:r>
        <w:t>FR: FR_GERICHTE 605 2021 32 du 21 novembre 2021</w:t>
      </w:r>
    </w:p>
    <w:p>
      <w:r>
        <w:t>IT: FR_GERICHTE 605 2021 32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rPr>
          <w:b/>
        </w:rPr>
        <w:t>E. 2.2</w:t>
      </w:r>
    </w:p>
    <w:p>
      <w:r>
        <w:t>La causalité est adéquate si, d'après le cours ordinaire des choses et l'expérience de la vie, le fait considéré était propre à entraîner un effet du genre de celui qui s'est produit, la survenance</w:t>
      </w:r>
    </w:p>
    <w:p>
      <w:r>
        <w:t>Tribunal cantonal TC Page 4 de 10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w:t>
      </w:r>
    </w:p>
    <w:p>
      <w:r>
        <w:t>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w:t>
      </w:r>
    </w:p>
    <w:p>
      <w:r>
        <w:t>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 a contractée en mars 2020 et si, partant, ce dernier a droit aux prestations de l’assurance-accidents obligatoire. Pour y répondre, il s’impose d’examiner, dans un premier temps, si l’assuré peut se prévaloir d’une application de l’art. 9 al. 1 LAA en relation avec l’annexe 1 de l’OLAA.</w:t>
      </w:r>
    </w:p>
    <w:p>
      <w:r>
        <w:rPr>
          <w:b/>
        </w:rPr>
        <w:t>E. 7.1</w:t>
      </w:r>
    </w:p>
    <w:p>
      <w:r>
        <w:t>En revanche, les parties semblent s’accorder sur le fait que l’assuré aurait bien été infecté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le recourant aurait également très bien pu être infecté à l’extérieur (dans le cadre familial, dans les magasins, ou dans les transports en commun) et qu’il aurait ainsi pu être lui-même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Elle fait dès lors partie de la liste des maladies infectieuses du ch. 2b § 4 de l’annexe 1 de l’OLAA.</w:t>
      </w:r>
    </w:p>
    <w:p>
      <w:r>
        <w:t>Tribunal cantonal TC Page 8 de 10 Cela étant, il ressort du dossier – et il n’est de surcroît pas contesté – que l’assuré n’a pas travaillé avec des patients ou pensionnaires contaminés. En effet, son activité au service de la Hotline était avant tout administrative. Elle avait en particulier pour but de répondre aux questions de santé des citoyens. Elle ne consistait donc nullement à prodiguer des soins en contact direct avec des malades de la Covid-19. Le fait, précisé dans son opposition du 2 novembre 2020 (cf. dossier Suva, pièce 22), que, en tant que cadre, l’assuré avait passé trois journées dans les locaux de l’Hôpital F.________, au début mars 2020, pour y développer le concept de la Hotline, n’y change rien. En effet, à ces occasions, il se trouvait dans une position semblable à celle du personnel administratif travaillant dans les bureaux de l’hôpital et qui, de par sa fonction et grâce aux mesures de protection de la personnalité du travailleur qu’est tenu de prendre l’employeur (cf. notamment art. 328 CO), n’est pas exposé au même risque de contamination que, en particulier, le personnel soignant de ce même hôpital. C’est précisément pourquoi,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w:t>
      </w:r>
    </w:p>
    <w:p>
      <w:r>
        <w:rPr>
          <w:b/>
        </w:rPr>
        <w:t>E. 7.3</w:t>
      </w:r>
    </w:p>
    <w:p>
      <w:r>
        <w:t>Que le bâtiment de E.________ puisse être considéré, comme cela est invoqué dans la cause parallèle (605 2021 28), comme une annexe de l’Hôpital F.________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F.________ à E.________ n’avait pas été préalablement testé à la Covid-19, ne relève pas de la responsabilité de l’assureur-accidents, mais éventuellement de celle de l’employeur.</w:t>
      </w:r>
    </w:p>
    <w:p>
      <w:r>
        <w:rPr>
          <w:b/>
        </w:rPr>
        <w:t>E. 7.5</w:t>
      </w:r>
    </w:p>
    <w:p>
      <w:r>
        <w:t>Force est dès lors de constater que, bien que faisant partie de la liste des maladies infectieuses prévues par le ch. 2b § 4 de l’annexe 1 de l’OLAA, la Covid-19 que l’assuré aurait contractée sur son lieu de travail n’est pas due à l’un des travaux mentionnés dans ladite annexe, dans le sens précisé par la recommandation no 1/2003 et la jurisprudence citées ci-dessus. Il s’ensuit que l’assuré ne peut se prévaloir d’une application de l’art. 9 al. 1 LAA, en relation avec l’annexe 1 de l’OLAA, dont les conditions ne sont en l’occurrence pas remplies.</w:t>
      </w:r>
    </w:p>
    <w:p>
      <w:r>
        <w:t>Tribunal cantonal TC Page 9 de 10</w:t>
      </w:r>
    </w:p>
    <w:p>
      <w:r>
        <w:rPr>
          <w:b/>
        </w:rPr>
        <w:t>E. 8</w:t>
      </w:r>
    </w:p>
    <w:p>
      <w:r>
        <w:t>Reste dès lors à examiner, dans un second temps, si la clause générale formulée à l’art. 9 al. 2 LAA peut être appliquée à titre subsidiaire, étant précisé que l’assuré ne s’en prévaut toutefois pas.</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G.________, spécialiste en médecine interne générale et médecine du travail, dans son appréciation médicale du 25 août 2020 (cf. dossier Suva, pièce 17):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 aurait certes pu contracter sur son lieu de travail en mars 2020 (à l’occasion au demeurant, très probablement, d’un "cluster"), mais qu’il aurait tout aussi pu importer lui-même de l’extérieur pour la transmettre à ses collègues. C’est dès lors à bon droit que l’assureur-accidents a refusé de prester, sa responsabilité n’étant pas engagée.</w:t>
      </w:r>
    </w:p>
    <w:p>
      <w:r>
        <w:rPr>
          <w:b/>
        </w:rPr>
        <w:t>E. 10</w:t>
      </w:r>
    </w:p>
    <w:p>
      <w:r>
        <w:t>Compte tenu de ce qui précède, le recours du 5 février 2021 doit être rejeté et la décision sur opposition du 15 janvier 2021 confirmée.</w:t>
      </w:r>
    </w:p>
    <w:p>
      <w:r>
        <w:t>Tribunal cantonal TC Page 10 de 10 Il n’est pas procédé à la jonction requise des causes.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au recourant qui succombe et qui n’est pas représenté.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