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227 vom 15. Dezember 2022</w:t>
      </w:r>
    </w:p>
    <w:p>
      <w:r>
        <w:t>FR Kantonsgericht, 2022-12-15, FR</w:t>
      </w:r>
    </w:p>
    <w:p>
      <w:r>
        <w:rPr>
          <w:b/>
        </w:rPr>
        <w:t xml:space="preserve">Quelle: </w:t>
      </w:r>
      <w:r>
        <w:t>https://mcp.opencaselaw.ch/entscheid/fr_gerichte_605_2021_227</w:t>
      </w:r>
    </w:p>
    <w:p>
      <w:r>
        <w:t>FR: FR_GERICHTE 605 2021 227 du 15 décembre 2022</w:t>
      </w:r>
    </w:p>
    <w:p>
      <w:r>
        <w:t>IT: FR_GERICHTE 605 2021 227 del 15 dicembre 2022</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auprès de l’autorité judiciaire compétente, par un assuré directement touché par la décision attaquée et dûment représenté, le recours est recevable.</w:t>
      </w:r>
    </w:p>
    <w:p>
      <w:r>
        <w:rPr>
          <w:b/>
        </w:rPr>
        <w:t>E. 2</w:t>
      </w:r>
    </w:p>
    <w:p>
      <w:r>
        <w:t>Violation du droit d’être entendu</w:t>
      </w:r>
    </w:p>
    <w:p>
      <w:r>
        <w:rPr>
          <w:b/>
        </w:rPr>
        <w:t>E. 2.1</w:t>
      </w:r>
    </w:p>
    <w:p>
      <w:r>
        <w:t>Le droit d’être entendu est consacré à l’art. 29 al. 2 Cst. féd.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ce principe est concrétisé à l'art. 42 de la loi du 6 octobre 2000 sur la partie générale du droit des assurances sociales (LPGA ; RS 830.1), applicable par le renvoi de l’art. 1 al. 1 de la loi fédérale du 20 mars 1981 sur l'assurance-accidents (LAA; RS 832.20). L'art. 42 LPGA prévoit ainsi que : "Les parties ont le droit d’être entendues. Il n’est pas nécessaire de les entendre avant une décision sujette à opposition". Le droit d’être entendu est une garantie constitutionnelle de caractère formel, dont la violation doit entraîner l'annulation de la décision attaquée, indépendamment des chances de succès du recourant sur le fond (ATF 127 V 437 consid. 3d/aa; 126 V 132 consid. 2b).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w:t>
      </w:r>
    </w:p>
    <w:p>
      <w:r>
        <w:t>Tribunal cantonal TC Page 5 de 18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ATF 133 I 201 consid. 2.2; arrêt TAF 2010/35 du 20 janvier 2010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201consid. 2.2; arrêt TF 8C_414/2015 du 29 mars 2016 consid. 2.3).</w:t>
      </w:r>
    </w:p>
    <w:p>
      <w:r>
        <w:rPr>
          <w:b/>
        </w:rPr>
        <w:t>E. 2.2</w:t>
      </w:r>
    </w:p>
    <w:p>
      <w:r>
        <w:t>En l’espèce, le recourant se plaint du fait que la SUVA a mentionné, pour la première fois dans sa décision sur opposition du 18 octobre 2021, une appréciation médicale du 26 mai 2021 (dossier SUVA pièce 354) qu’elle n’avait jamais communiquée au recourant. Dans cette appréciation médicale, la Prof. Dre F.________, médecin d’arrondissement et spécialiste FMH en neurochirurgie, a notamment retenu ce qui suit : « Sur la base des documents médicaux, la situation est stabilisée. L’exigibilité est déjà définie par les experts de la CRR de la façon suivante : « Les limitations fonctionnelles pratiquement définitives suivantes sont retenues pour la cheville gauche : marche prolongée en terrain irrégulier, position accroupie prolongée, utilisation répétée d’échelles et/ou d’escaliers, la montée et descente de manière répétitive d’escaliers et le port de charges répété supérieur à 10-15 kg. La situation n’est pas stabilisée du point de vue médical et des aptitudes fonctionnelles. Une stabilisation médicale est attendue dans un délai de 1-3 mois ». Une IpAI a déjà été évaluée lors de l’appréciation du 08.07.2019. » (dossier SUVA pièce 354). Elle s’est donc entièrement référée à son appréciation médicale du 8 juillet 2019 s’agissant de l’indemnité pour atteinte à l’intégrité. L’appréciation médicale du 8 juillet 2019 figure dans le dossier de la SUVA, à disposition du recourant pour consultation (dossier SUVA pièce 191). Il en va de même de celle du 26 mai 2021 (dossier SUVA pièce 354). Le recourant, au surplus représenté par un avocat, avait la possibilité de consulter le dossier sur la base duquel la décision du 24 juin 2021, respectivement la décision sur opposition du 18 octobre 2021, a été rendue. Le fait pour l’assurance de ne l’avoir pas expressément rendu attentif à cette appréciation médicale, qui n’était pas nouvelle dans son contenu mais se contentait de reprendre une appréciation médicale antérieure, ne constitue dès lors pas une violation de son droit d’être entendu. Il peut encore être ajouté que, même dans l’hypothèse où une telle violation aurait été retenue, elle aurait été réparée dans la présente procédure de recours. En effet, le recourant a eu largement l’occasion, dans ses écritures, de discuter les appréciations médicales en question. Le grief de violation du droit d’être entendu sera en conséquence rejeté. Autre est la question de savoir si la SUVA pouvait se fonder sur un document médical datant du 8 juillet 2019 pour fixer le taux de l’indemnité pour atteinte à l’intégrité dans sa décision du 24 juin 2021. Cette question sera analysée ultérieurement.</w:t>
      </w:r>
    </w:p>
    <w:p>
      <w:r>
        <w:t>Tribunal cantonal TC Page 6 de 18</w:t>
      </w:r>
    </w:p>
    <w:p>
      <w:r>
        <w:rPr>
          <w:b/>
        </w:rPr>
        <w:t>E. 3</w:t>
      </w:r>
    </w:p>
    <w:p>
      <w:r>
        <w:t>Règles relatives au droit à des prestations de l’assurance-accidents En vertu de l'art. 6 al. 1 de la loi fédérale du 20 mars 1981 sur l'assurance-accidents (LAA; RS 832.20), si cette loi n'en dispose pas autrement,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et 25 LAA).</w:t>
      </w:r>
    </w:p>
    <w:p>
      <w:r>
        <w:rPr>
          <w:b/>
        </w:rPr>
        <w:t>E. 3.1</w:t>
      </w:r>
    </w:p>
    <w:p>
      <w:r>
        <w:t>Règles relatives à la rente d’invalidité de l’assurance-accidents</w:t>
      </w:r>
    </w:p>
    <w:p>
      <w:r>
        <w:rPr>
          <w:b/>
        </w:rPr>
        <w:t>E. 3.1.1</w:t>
      </w:r>
    </w:p>
    <w:p>
      <w:r>
        <w:t>Rente d’invalidité ordinaire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w:t>
      </w:r>
    </w:p>
    <w:p>
      <w:r>
        <w:rPr>
          <w:b/>
        </w:rPr>
        <w:t>E. 3.1.2</w:t>
      </w:r>
    </w:p>
    <w:p>
      <w:r>
        <w:t>Rente transitoire 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de l’ordonnance du 20 décembre 1982 sur l’assurance-accidents (OLAA ;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w:t>
      </w:r>
    </w:p>
    <w:p>
      <w:r>
        <w:t>Tribunal cantonal TC Page 7 de 18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La différence réside dans le fait que, dans le cas de la rente temporaire, seule l'activité qui peut raisonnablement être exigée de la part d'un assuré non encore réadapté, compte tenu d'une situation équilibrée du marché du travail, est prise en considération (ATF 116 V 246 consid. 2b).</w:t>
      </w:r>
    </w:p>
    <w:p>
      <w:r>
        <w:rPr>
          <w:b/>
        </w:rPr>
        <w:t>E. 3.1.3</w:t>
      </w:r>
    </w:p>
    <w:p>
      <w:r>
        <w:t>Evaluation du taux d’invalidité</w:t>
      </w:r>
    </w:p>
    <w:p>
      <w:r>
        <w:rPr>
          <w:b/>
        </w:rPr>
        <w:t>E. 3.1.3.1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arrêt TF 8C_643/2016 du 25 avril 2017 consid. 4.1 et la référence citée).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 II, 2015, p. 421 par. 286).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La version 2012 de l'ESS a introduit quatre niveaux de compétences définis en fonction du type de travail, de la formation nécessaire à la pratique de la profession et de l'expérience professionnelle.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w:t>
      </w:r>
    </w:p>
    <w:p>
      <w:r>
        <w:t>Tribunal cantonal TC Page 8 de 18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plus sur les qualifications en elles-mêmes (voir arrêts TF 8C_46/2018 du 11 janvier 2019 consid. 4.4; 9C_901/2017 du 28 mai 2018 consid. 3.3). Aux fins de déterminer le revenu d'invalide, les salaires fixés sur la base des données statistiques de I'ESS peuvent à certaines conditions faire l'objet d'un abattement de 25 % au plus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148 V 174 consid. 6.3; 135 V 297 consid. 5.2; 134 V 322 consid. 5.2; 126 V 75 consid.5b/aa-cc).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arrêt TF 8C_50/2022 du 11 août 2022 consid. 6.1.2 et les références citées).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(arrêt TF 8C_716/2021 du 12 octobre 2022 consid. 5.5 et les références citées).</w:t>
      </w:r>
    </w:p>
    <w:p>
      <w:r>
        <w:rPr>
          <w:b/>
        </w:rPr>
        <w:t>E. 3.1.3.2</w:t>
      </w:r>
    </w:p>
    <w:p>
      <w:r>
        <w:t>Selon la jurisprudence, une rente transitoire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 Cette rente est allouée sur la base de l'incapacité de gain existant au moment de la fin du traitement médical. Elle n'est pas versée tant que l'assuré a droit à une indemnité journalière de l'AI (ibid., consid. 2b).</w:t>
      </w:r>
    </w:p>
    <w:p>
      <w:r>
        <w:t>Tribunal cantonal TC Page 9 de 18</w:t>
      </w:r>
    </w:p>
    <w:p>
      <w:r>
        <w:rPr>
          <w:b/>
        </w:rPr>
        <w:t>E. 3.2</w:t>
      </w:r>
    </w:p>
    <w:p>
      <w:r>
        <w:t>Règles relatives à l’indemnité pour atteinte à l’intégrité 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première phrase). L'indemnité pour atteinte à l’intégrité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(voir not. arrêt TC FR 605 2017 261 du 29 mars 2018 consid. 2a et les références citées).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(voir not. arrêt TC FR 605 2017 261 du 29 mars 2018 consid. 2b et les références citées).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FR 605 2020 155 du</w:t>
      </w:r>
    </w:p>
    <w:p>
      <w:r>
        <w:rPr>
          <w:b/>
        </w:rPr>
        <w:t>E. 8</w:t>
      </w:r>
    </w:p>
    <w:p>
      <w:r>
        <w:t>Indemnité pour atteinte à l’intégrité</w:t>
      </w:r>
    </w:p>
    <w:p>
      <w:r>
        <w:rPr>
          <w:b/>
        </w:rPr>
        <w:t>E. 8.1</w:t>
      </w:r>
    </w:p>
    <w:p>
      <w:r>
        <w:t>Rapports médicaux</w:t>
      </w:r>
    </w:p>
    <w:p>
      <w:r>
        <w:rPr>
          <w:b/>
        </w:rPr>
        <w:t>E. 8.1.1</w:t>
      </w:r>
    </w:p>
    <w:p>
      <w:r>
        <w:t>La Prof. Dre F.________ a procédé le 9 juillet 2019, à une estimation de l’atteinte à l’intégrité, sur la base de son appréciation médicale de la veille. Elle a évalué l’atteinte à l’intégrité à 15%, invoquant les motifs suivants : « Notre estimation se base sur la table 5 des barèmes d’indemnisation pour atteinte à l’intégrité selon la LAA pour une arthrose talo-crurale de la cheville G et une mobilité réduite en flexion/extension à 15-0-0o, par analogie à une arthrose tibio-tarsienne de la cheville G de degré moyen à grave, 15%. Cette estimation se fonde sur notre appréciation actuelle et le scanner du 27.05.2019 et devra être modifiée en cas d’aggravation ». Elle a pris en compte les différentes interventions subies par le recourant et a retenu la situation actuelle suivante : « Mobilisation avec 1 à 2 cannes et douleurs en appuyant sur le talon G selon le rapport orthopédique du Dr G.________ du 27.05.2019, orthopédie de H.________ : « L’évolution est stagnante. Le CT montre une amélioration de la guérison de l’os. Il peut charger selon douleurs. […] le potentiel d’amélioration de la mobilité reste faible. » (dossier SUVA pièce 191). Du 8 octobre 2019 au 6 novembre 2019, le recourant a séjourné auprès de la Clinique romande de réadaptation (CRR). Après avoir repris les diagnostics du recourant (traumatisme de la jambe gauche, le 15.02.2017 avec fracture du pilon tibial et fracture du péroné gauche, ouverte Gustillo II, ostéosynthésées), les experts ont retenu qu'il souffrait de douleurs mécaniques de la tibio-talienne gauche en ceinture, constantes, d'une intensité de 1-2 à 7-8/10, irradiant en proximal du tiers distal de la jambe. Ces douleurs seraient aggravées par la station debout prolongée et la marche et elles seraient calmées par le froid et le repos. Les experts ont également relevé une hyposensibilité et des fourmillements des orteils 2, 3 et 4 gauches et de la face dorsale des métatarses correspondants. Il a été souligné que les plaintes et les limitations fonctionnelles ne s’expliquaient qu’en partie par les lésions objectives constatées pendant le séjour. Des facteurs contextuels pourraient en effet influencer négativement les aptitudes fonctionnelles rapportées par le patient : notamment une kinésiophobie modérée à sévère, un catastrophisme élevé et une perception du handicap fonctionnelle majeur chez un patient avec des traits d’anxiété. Les experts ont également mentionné la possibilité d'avoir recours à une arthrodèse de la cheville, en précisant toutefois qu'il n'était pas certain que l'issue d'une telle intervention soit favorable pour le recourant (dossier SUVA pièce 210). Dans le cadre de son séjour auprès de la CRR, le recourant a été soumis, le 11 octobre 2019, à un ENMG (Électroneuromyogramme) par le Dr I.________, spécialiste en neurologie. Il ressort ce qui suit de l’examen clinique neurologique dirigé : « La marche se fait avec une boiterie de décharge aux dépens du MIG, avec un défaut de déroulement du pied. Il existe une limitation des amplitudes articulaires de la cheville gauche qui est par ailleurs très douloureuse à la mobilisation. […] Impotence fonctionnelle globale des mouvements de flexion-extension mais également inversion- éversion du pied, sans qu’il soit possible de distinguer entre un déficit moteur ou une limitation</w:t>
      </w:r>
    </w:p>
    <w:p>
      <w:r>
        <w:t>Tribunal cantonal TC Page 15 de 18 volontaire des mouvements en lien avec la douleur. Au niveau sensitif, l’examen est également difficile avec une hypoesthésie discrète mais diffuse, sans systématisation tronculaire, du pied semblant toucher aussi bien la face dorsale que la plante du pied. Absence d’amyotrophie musculaire à la cuisse mais discrète amyotrophie de la jambe » (dossier SUVA pièce 210). Il ressort ce qui suit du rapport de consultation orthopédique de la CRR du 23 octobre 2019, établi par le Dr K.________, spécialiste en chirurgie orthopédique : « A l’examen clinique, le patient sous- utilise le peu de mouvement qu’il a, il arrive tout juste à -2/-3° donc il est en équin à G, il a une flexion plantaire de 10° mais il ne l’utilise pas. A D, il est à peu près à 10°-0-30°. Il a une sous-astragalienne qui est enraidie, dès qu’on le touche il a mal. Il a des douleurs aussi bien autour de la cheville que sur l’ancienne zone de fracture des 2 os de la jambe distalement. ». Le 17 février 2020, le recourant a fait l’objet d’un examen médical par la Clinique de chirurgie orthopédique de H.________. Le diagnostic principal suivant a été retenu : douleurs persistantes de la cheville gauche à caractère non mécanique, DD maladie de Sudeck, arthériopathie oblitérante, arthrose post-traumatique, conflit tibio-astragalien antérieur. Il a été expliqué au patient qu’une partie des douleurs au moins était imputable à un conflit tibio-astragalien associé à une arthrose avec un pincement de l’interligne marqué au niveau antéro-médial à la jonction tibio-astragalienne. Toutefois, selon le Dr G.________, cette arthrose ainsi que le conflit associé n’expliquent pas toute la symptomatologie du patient. En particulier, certains éléments de l’anamnèse évoquent un syndrome d’algoneurdystrophie tandis que d’autres évoquent un problème d’origine vasculaire. C’est pourquoi il a suggéré une analyse angiologique ainsi que rhumatologique, pour un bilan artériel du membre inférieur gauche, d’une part, et l’examen d’une éventuelle maladie de Sudeck, d’autre part. (dossier SUVA pièce 256). Il est d'emblée relevé que toute cause artérielle a été exclue par la Dre J.________, spécialiste en angiologie et médecine interne générale (dossier SUVA pièce 281). Dans son rapport médical du 5 mai 2020, la Dre L.________ a exposé que le recourant ne pouvait pas se déplacer sans béquilles, qu’il ne chargeait toujours pas complètement son membre inférieur gauche de plus de quelques pas, qu’il souffrait de douleurs de repos et de douleurs exacerbées à la marche, ce qui l’entravait dans ses activités quotidiennes (dossier SUVA pièce 264). Selon le rapport de physiothérapie du 14 juillet 2020 de M.________, qui a suivi le recourant jusqu’en janvier 2019, il n’a pas été possible de travailler le membre inférieur à cause des douleurs. Partant, selon lui, il ne pouvait pas prévoir d’amélioration de la mobilité, force et stabilisation du pied. Il a précisé qu’en janvier 2019, le recourant avait toujours des douleurs, mais il arrivait à marcher avec une canne en faisant un bon déroulement du pied gauche. Il a ajouté qu’en mars 2019, après avoir enlevé les plaques d’ostéosynthèses, le recourant a subi une perte de mobilité de la cheville gauche, une perte de sensibilité de la force dorsale du pied gauche ainsi qu’une atrophie générale du membre inférieur. C’est la raison pour laquelle, selon lui, la fonction normale du pied n’a pas pu être maintenue et l’état général du recourant s’est dégradé (pièce 6 du recours). Le recourant a effectué un nouveau séjour à la CRR du 18 août 2020 au 9 septembre 2020 (dossier SUVA pièce 306). Aucun nouveau diagnostic n'a été posé (par rapport au premier séjour à la CRR) et celui de Syndrome Douloureux Régional Complexe du pied (SRDC ou CRPS ou maladie de Sudeck) n'a pas été retenu. Il a été précisé que l'infiltration-test de la tibio-talienne avec un anesthétique local avait permis une nette diminution des douleurs, de plus de 50%, mais que la mobilité restait quand même diminuée, sans toutefois d'arrêt dur. Selon les experts, le patient aurait eu une participation moyenne aux thérapies, la douleur étant restée au premier plan. De plus, certaines incohérences auraient été observées (dossier SUVA pièce 312).</w:t>
      </w:r>
    </w:p>
    <w:p>
      <w:r>
        <w:t>Tribunal cantonal TC Page 16 de 18 Toujours dans le cadre de son séjour à la CRR, le recourant a été vu à la consultation du Dr N.________, spécialiste en chirurgie orthopédique et traumatologie de l’appareil locomoteur. Sa situation a été appréciée de la manière suivante : « L’imagerie à disposition et surtout le SPECT-CT peut expliquer des douleurs importantes à la charge et une certaine raideur articulaire. Elle ne permet cependant pas à expliquer la position en équin fixe de la cheville et notamment de savoir si cet équin est dû à un conflit mécanique ou vraiment qu’à une position antalgique. » (dossier SUVA pièce 313). Le 3 septembre 2020, le recourant a été vu par la Dre O.________, spécialiste en antalgie, acupuncture et psychosomatique. Selon elle, le patient présente tous les signes d'un CRPS type I, tout en évoquant la possibilité d'une cause rhumatologique. La médecin a également confirmé les problématiques de kinésiophobie (centralisation de la douleur) et de catastrophisme chez le recourant (dossier SUVA pièce 308).</w:t>
      </w:r>
    </w:p>
    <w:p>
      <w:r>
        <w:rPr>
          <w:b/>
        </w:rPr>
        <w:t>E. 8.1.2</w:t>
      </w:r>
    </w:p>
    <w:p>
      <w:r>
        <w:t>Le 27 octobre 2020, la Prof. Dre F.________ a procédé à une nouvelle appréciation médicale. Elle s’est référée aux rapports médicaux antérieurs, et notamment à l’évaluation faite lors du séjour à la CRR. Elle a notamment mentionné l'éventualité d'une arthrodèse ou prothèse de cheville. S’agissant de la stabilisation médicale, la Prof. Dre F.________ a considéré que sans nouvelle intervention chirurgicale (arthrodèse/prothèse) la stabilisation médicale ainsi que l’exigibilité de son rapport étaient définitives. Pour ce qui est de l’estimation de l’indemnité pour atteinte à l’intégrité, elle a considéré qu’elle devait être revue après clarification. Si elle n’a pas précisé ce qui devait être clarifié, l’on comprend qu’elle fait référence à l’éventuelle arthrodèse/prothèse (dossier SUVA pièce 316). Le 12 mars 2021, le recourant a été vu par le Dr P.________, spécialiste en chirurgie orthopédique au Centre du pied, à Q.________. Au niveau de l’examen clinique, le médecin précité a exposé ce qui suit : « On retrouve une position en équin varus que je n’arrive pas à réduire en raison des douleurs. La mobilité me semble être conservée mais elle est accompagnée de violentes douleurs ce qui empêche une correction en plantigrade. Le patient décrit également des troubles sensitifs avec des coups d’électricité lorsque j’appuie sur différents tissus mous qui entoure la cheville. La perfusion me semble être en ordre avec un pouls pédieux et un tibialis postérieur palpables. » (dossier SUVA pièce 330). Selon lui, la situation est compliquée et la position en équin varus est inacceptable. Il a informé le patient qu’une arthrodèse permettrait de corriger la position du pied afin d’améliorer la marche, mais qu’elle ne ferait pas complètement disparaître les douleurs. Selon son rapport de consultation du 29 mars 2021, le Dr R.________, chef de clinique auprès de la Clinique de chirurgie orthopédique de H.________, a observé chez le recourant un pied (gauche) en équin, accompagné de douleurs. Il a été proposé au recourant de faire une arthrodèse (dossier SUVA pièce 349). Dans un courrier du 20 mai 2021, l’avocat du recourant a informé la SUVA que ce dernier renonçait à se soumettre à une arthrodèse, la nature exacte et les bénéfices d’une telle intervention n’étant pas clairs (dossier SUVA pièce 352).</w:t>
      </w:r>
    </w:p>
    <w:p>
      <w:r>
        <w:rPr>
          <w:b/>
        </w:rPr>
        <w:t>E. 8.1.3</w:t>
      </w:r>
    </w:p>
    <w:p>
      <w:r>
        <w:t>Le 26 mai 2021, la Prof Dre F.________ a fourni à la SUVA une appréciation médicale actualisée. Se référant aux rapports médicaux au dossier et à la renonciation du recourant à subir une nouvelle intervention chirurgicale, elle a considéré que sa situation était stabilisée. S’agissant de l’exigibilité, elle s’est référée aux limitations fonctionnelles retenues par les experts de la CRR.</w:t>
      </w:r>
    </w:p>
    <w:p>
      <w:r>
        <w:t>Tribunal cantonal TC Page 17 de 18 Enfin, elle a confirmé son évaluation de l’indemnité pour atteinte à l’intégrité du 8 juillet 2019 (dossier SUVA pièce 354).</w:t>
      </w:r>
    </w:p>
    <w:p>
      <w:r>
        <w:rPr>
          <w:b/>
        </w:rPr>
        <w:t>E. 8.2</w:t>
      </w:r>
    </w:p>
    <w:p>
      <w:r>
        <w:t>Discussion sur l’indemnité pour atteinte à l’intégrité Tel qu’exposé plus haut, la Prof. Dre F.________ a estimé l’indemnité pour atteinte à l’intégrité à 15% sur la base d’une arthrose talo-crurale de la cheville gauche et une mobilité réduite en flexion/extension à 15-0-0o, par analogie à une arthrose tibio-tarsienne de la cheville gauche de degré moyen à grave. Il est précisé qu’elle a retenu un faible potentiel d’amélioration. Dans les différents rapports médicaux susmentionnés, il est fait état d’une mobilité très réduite de la cheville gauche. Il n’a toutefois pas pu être déterminé si cette raideur avait des origines antalgiques ou si elle provenait d’un conflit mécanique. Les Drs I.________ et N.________ n’ont pas pu déterminer les causes de la diminution de mobilité de la cheville gauche du recourant. Le Dr K.________, de son côté, a estimé que le recourant sous- utilisait la mobilité restante dont il disposait. Selon le Dr G.________, la symptomatologie douloureuse du patient ne s’explique pas complètement par l’arthrose et le conflit associé. Or, tant la cause artérielle que la maladie de Sudeck (SRDC ou CRPS) ont été rejetées. A cet égard, il est précisé que la Dre O.________ a observé que le recourant présentait tous les signes d’un CRPS type I, mais a précisé que le bilan pouvait être complété par une consultation en rhumatologie pour exclure une telle cause, bien que le diagnostic de CRPS lui semblait le plus probable. Elle a donc admis que le CRPS n’était pas la seule explication aux troubles dont souffre le recourant. Le physiothérapeute M.________ a retenu que la mobilisation de la cheville était rendue difficile par le fait des douleurs subies par le recourant. Enfin, selon le Dr P.________, la mobilité de la cheville est conservée mais accompagnée de violentes douleurs. La Cour relève que vu le niveau de participation du recourant aux thérapies mises en place durant le séjour à la CRR, sa kinésiophobie et son catastrophisme élevé, la diminution de mobilité doit être appréciée avec retenue. Quoi qu’il en soit, pour une telle affection, le taux de l’indemnité pour atteinte à l’intégrité estimé par la Prof Dre F.________, et repris par la SUVA dans sa décision, tient compte de l’atteinte effective subie par le recourant. En effet, selon l’annexe 3 OLAA, la perte d’un pied donne droit à une indemnité de 30%. En cas de perte partielle, ce taux doit être réduit en conséquence. Or, le recourant n’a pas totalement perdu l’usage de son pied, qui est toutefois rendu difficile par d’importantes douleurs à la mobilisation. Partant, l’indemnité pour atteinte à l’intégrité de 15% doit être confirmée.</w:t>
      </w:r>
    </w:p>
    <w:p>
      <w:r>
        <w:rPr>
          <w:b/>
        </w:rPr>
        <w:t>E. 9</w:t>
      </w:r>
    </w:p>
    <w:p>
      <w:r>
        <w:t>Sort du recours et frais Sur le vu de ce qui précède, le recours est rejeté et la décision attaquée confirmée. La procédure étant gratuite en matière d'assurance-accidents, il n'est pas perçu de frais de justice. Le recourant qui succombe n’a pas droit à des dépens (art. 61 let. g LPGA a contrario).</w:t>
      </w:r>
    </w:p>
    <w:p>
      <w:r>
        <w:t>Tribunal cantonal TC Page 18 de 18 la Cour arrête :</w:t>
      </w:r>
    </w:p>
    <w:p>
      <w:r>
        <w:t>I. Le recours est rejeté. Partant, la décision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2022/sal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