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210 vom 25. Februar 2022</w:t>
      </w:r>
    </w:p>
    <w:p>
      <w:r>
        <w:t>FR Kantonsgericht, 2022-02-25, FR</w:t>
      </w:r>
    </w:p>
    <w:p>
      <w:r>
        <w:rPr>
          <w:b/>
        </w:rPr>
        <w:t xml:space="preserve">Quelle: </w:t>
      </w:r>
      <w:r>
        <w:t>https://mcp.opencaselaw.ch/entscheid/fr_gerichte_605_2021_210</w:t>
      </w:r>
    </w:p>
    <w:p>
      <w:r>
        <w:t>FR: FR_GERICHTE 605 2021 210 du 25 février 2022</w:t>
      </w:r>
    </w:p>
    <w:p>
      <w:r>
        <w:t>IT: FR_GERICHTE 605 2021 210 del 25 febbraio 2022</w:t>
      </w:r>
    </w:p>
    <w:p>
      <w:pPr>
        <w:pStyle w:val="Heading2"/>
      </w:pPr>
      <w:r>
        <w:t>Regeste</w:t>
      </w:r>
    </w:p>
    <w:p>
      <w:r>
        <w:t>Arrêt de la Ie Cour des assurances sociales du Tribunal cantonal | Unfallversicherung</w:t>
      </w:r>
    </w:p>
    <w:p>
      <w:pPr>
        <w:pStyle w:val="Heading2"/>
      </w:pPr>
      <w:r>
        <w:t>Erwägungen</w:t>
      </w:r>
    </w:p>
    <w:p>
      <w:r>
        <w:rPr>
          <w:b/>
        </w:rPr>
        <w:t>E. 27</w:t>
      </w:r>
    </w:p>
    <w:p>
      <w:r>
        <w:t>août 2021. Sous suite de frais et dépens, il conclut, principalement, à l’octroi d’une rente entière dès le 1er mars 2021 et d’une IPAI de 100% ainsi qu’à la poursuite de la prise en charge du traitement médical au sens de l’art. 21 LAA, subsidiairement, à la mise en œuvre d’une expertise qui établirait la capacité de travail et le taux d’IPAI, plus subsidiairement, au renvoi de la cause à la Suva pour la mise en œuvre d’une expertise et, plus subsidiairement encore, à l’octroi d’une rente de 45% dès le 1er mars 2021 et d’une IPAI de 25%, ainsi qu’à la poursuite de la prise en charge du traitement médical au sens de l’art. 21 LAA. Le recourant soutient que les rapports sur lesquels s’est basée la Suva, soit un rapport de la Dre B.________ et un autre de G.________, ne sont pas probants. Ils ne fixeraient pas le taux d’activité ni le rendement exigible, le premier rapport cité n’étant en outre plus d’actualité. La Suva aurait ainsi dû mettre en œuvre une expertise. Elle aurait également dû tenir compte du rapport de son médecin traitant, le Dr C.________, et constater une invalidité de travail totale, ou du moins de 45%. Le recourant estime en outre qu’au vu de ce ses séquelles actuelles, il a droit à une IPAI de 25%. Enfin, il soutient qu’il aurait besoin d’un traitement pour maintenir l’état actuel de sa main droite et requiert une prise en charge au sens de l’art. 21 LAA. Le 23 décembre 2021, la Suva a proposé, sous suite de frais et dépens, le rejet du recours. Elle relève que les rapports sur lesquels elle a basé sa décision sont probants et qu’ils se prononcent en faveur de la reprise d’une activité adaptée, sans diminution de rendement. Le rapport du Dr C.________ cité par le recourant ne serait pas motivé et ne saurait ainsi être pris en compte. Enfin, la Suva estime qu’il n’est pas justifié d’octroyer une IPAI supplémentaire. Il sera fait état du détail des arguments soulevés par les parties dans les considérants en droit, dans lesquels seront par ailleurs examinés les moyens de preuves dont elles se prévalent.</w:t>
      </w:r>
    </w:p>
    <w:p>
      <w:r>
        <w:t>Tribunal cantonal TC Page 3 de 15 en droit 1. Recevabilité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Dispositions générales en matière d'assurance-accidents En vertu de l'art. 6 al. 1 de la loi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et le droit à une rente d'invalidité (art. 18 et 19 LAA). 2.1.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2.2.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w:t>
      </w:r>
    </w:p>
    <w:p>
      <w:r>
        <w:rPr>
          <w:b/>
        </w:rPr>
        <w:t>E. 31</w:t>
      </w:r>
    </w:p>
    <w:p>
      <w:r>
        <w:t>août 2004 et U 89/95 du 21 novembre 1995; MAURER, Schweizerisches Unfallversicherungsrecht, 2e éd. 1989, p. 274). 2.3.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w:t>
      </w:r>
    </w:p>
    <w:p>
      <w:r>
        <w:t>Tribunal cantonal TC Page 4 de 15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 Dispositions relatives au droit à la rente 3.1. 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3.2. 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La jurisprudence admet que le revenu sans invalidité puisse être déterminé en recourant à des données statistiques (cf. notamment arrêts 9C_57/2017 du 21 avril 2017 consid. 5.2; 9C_376/2017 du 30 octobre 2017 consid. 5.3, 9C_212/2015 du 9 juin 2015 consid. 5.4 et les références). 3.3.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w:t>
      </w:r>
    </w:p>
    <w:p>
      <w:r>
        <w:t>Tribunal cantonal TC Page 5 de 15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4. Dispositions relatives à la révision 4.1.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Selon la jurisprudence, dans le cas des rentes avec un pourcentage précis (assurance-accidents, assurance militaire), une modification est supposée importante si le degré d'invalidité change de 5 %. Dans l'assurance invalidité, où la rente est calculée en fonction de certains seuils, tout changement significatif des circonstances effectives pouvant affecter le droit à la rente était considéré comme un motif de révision de la rente. Ainsi, une modification du degré d'invalidité de 2 %, par exemple, pourrait également donner lieu à un recours si elle entraînait un dépassement du seuil de la pension supérieure ou inférieure. Cela est aussi valable en cas de substitution de motif opérée par le tribunal cantonal (ATF 140 V 85 consid. 4.3; 133 V 545 consid. 6.2).</w:t>
      </w:r>
    </w:p>
    <w:p>
      <w:r>
        <w:t>Tribunal cantonal TC Page 6 de 15 5. Dispositions relatives à l’IPAI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 6. Dispositions relatives à l'appréciation des preuves Dans le droit des assurances sociales, la règle du degré de vraisemblance prépondérante est généralement appliquée. 6.1.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w:t>
      </w:r>
    </w:p>
    <w:p>
      <w:r>
        <w:t>Tribunal cantonal TC Page 7 de 15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6.2.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6.3.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w:t>
      </w:r>
    </w:p>
    <w:p>
      <w:r>
        <w:t>Tribunal cantonal TC Page 8 de 15 assureur par un rapport de travail, mais n'en déduit pas pour autant une quelconque règle de préséance (arrêt TF 9C_843/2007 du 28 juillet 2008 consid. 3). 7. Problématique Est contestée, dans le cadre de l'annonce d'une nouvelle rechute, l'adaptation du degré d'invalidité et de l’IPAI. Il convient ainsi d'examiner l'appréciation médicale de la capacité de travail du recourant afin de déterminer si celle-ci s'est ou non péjorée au point qu'il faille augmenter la rente, actuellement fixée à 35%, ainsi que l’IPAI, fixée à 10%. 8. Accident et conséquences 8.1. Le 17 octobre 2004, le recourant s’est coincé la main dominante droite en changeant un pneu, entrainant des plaies tendineuses multiples des fléchisseurs du médius, de l’annulaire et de l’auriculaire de la main droite (doc. 10). Il a ainsi été opéré à de multiples reprises (doc. 109). 8.2. Au cours de différents entretiens avec l’inspecteur de la Suva, l’employeur a indiqué qu’il était en mesure de fournir du travail à son employé en qualité de grutier, mais à un taux partiel uniquement (doc. 45, 58, 66, 101). Par décision du 24 avril 2009, la Suva a octroyé une IPAI de 10% et a admis le droit à une rente de 25%, estimant que son assuré pouvait exercer une activité légère dans l’industrie : « Il ressort de nos investigations, notamment sur le plan médical, que vous êtes à même d'exercer une activité légère dans différents secteurs de l'industrie, à la condition que votre main droite ne soit pas mise à forte contribution. Une telle activité est exigible durant toute la journée et permettrait de réaliser un salaire d'environ CHF 4500 par mois (part du 13ème salaire incluse). Comparé au gain de CHF 6000 réalisable sans accident, il en résulte une perte de 25%. Nous allouons dès lors une rente d'invalidité conforme à ce taux » (doc. 123). Le 28 avril 2009, l’assuré s’est opposé à la décision, expliquant que la rente de 25% ne lui permettait pas de conserver son emploi actuel (doc. 127). Il a complété son opposition le 25 mai 2019, concluant à une rente de 55.82% (doc. 129). Le 12 mai 2009, l’employeur a soutenu que l’invalidité de son employé était supérieure à 25%. Il a prié la Suva de réexaminer sa décision, soulignant qu’il ne serait pas en mesure de garder l’employé à son service si l’autorité persistait dans son évaluation (doc. 128) Le 21 juillet 2009, la Suva, le recourant, son avocat et son employeur, sont parvenus à un accord. Ainsi, le taux de la rente d’invalidité a été fixé à 35% (doc. 133). 9. Rechute et évolution médicale 9.1. En début d’année 2017, le recourant s’est soumis à une neurolyse (= intervention chirurgicale qui a pour objectif de libérer un nerf comprimé) du nerf médian au canal carpien droit (intervention du 7 février 2017, doc. 217) Au début de l’été 2017, le Dr C.________, spécialiste en chirurgie plastique reconstructive et esthétique ainsi qu’en chirurgie de la main, a diagnostiqué une neuropathie du nerf médian au canal</w:t>
      </w:r>
    </w:p>
    <w:p>
      <w:r>
        <w:t>Tribunal cantonal TC Page 9 de 15 carpien et à la paume de la main droite ainsi qu’une impotence fonctionnelle du majeur, de l’annulaire et de l’auriculaire. Il a estimé qu’une arthrodèse devra être envisagée pour permettre au recourant de s’agripper et de saisir des barreaux d’échelles, ce qui lui permettra de se mouvoir dans les grues. Une fois le problème de serrage et de préhension réglé, la reprise de l’activité à 100% pourra être exigée. Par ailleurs, toute activité qui ne demanderait pas des efforts de serrage en préhension ou en verrouillage cubital de la main droite pourrait être exigé à 100% (rapport du 23 juin 2017, doc. 204). 9.2. Le 17 août 2017, la rechute a été annoncée à la Suva (doc. 160, cf. ég. doc. 181). 9.3. Le 30 août 2017, le recourant s’est soumis à une arthrodèse du majeur (doc. 215, 217). Moins d’un mois plus tard, le Dr C.________ a constaté que ce dernier ne pouvait pas fléchir activement les articulations interphalangiennes proximales et qu’il ressentait une fatigabilité importante de l'index, le seul doigt avec lequel dite flexion était possible activement (rapport du 20 septembre 2017, doc. 180). 9.4. Au début de l’année 2018, le recourant s’est à nouveau soumis à une neurolyse du nerf médian au canal carpien droit (intervention du 6 février 2018, doc. 216). 9.5. Au printemps 2018, le Dr C.________ a remarqué que l’arthrodèse réalisée en août 2017 avait permis de diminuer la perte de flexion et de force du majeur. Il a toutefois dû admettre que l’intervention n’était pas une réussite totale, l’impotence persistant et le recourant ayant de plus en plus de peine à faire des efforts en charge prolongée (rapport du 4 mai 2018, doc. 222). En été 2018, le Dr C.________ a diagnostiqué une impotence fonctionnelle du majeur, de l’annulaire et de l’auriculaire de la main droite sur séquelles d’une lésion grave des fléchisseurs au poignet droit, un status post-multiples interventions palliatives et une neuropathie du nerf médian au canal carpien droit récidivante. Il a indiqué que la situation évoluait lentement mais favorablement, relevant qu’il persistera un manque de force de préhension et un manque d’intégration de la main lors des activités de serrage en force (rapport du 13 juillet 2018, doc. 235). En automne 2018, la Dre B.________, spécialiste en neurochirurgie et médecin-conseil de la Suva, a estimé que l’état de santé était stabilisé. Elle a admis que le recourant n’était plus en mesure de travailler en qualité de grutier, mais qu’il pourrait exercer un travail adapté à 100%, dans un emploi sans port de charges lourdes, qui ne nécessiterait pas de préhension fine de la main droite et qui éviterait une température continuellement réduite. Enfin, la spécialiste a considéré que l’IPAI, fixée en 2009 à 10%, n’avait pas à être augmentée, « les limitations fonctionnelles importantes étant respectées » (rapport du 10 septembre 2018, doc. 239). 9.6. Le 16 octobre 2018, le recourant a encore subi une ablation du matériel d’ostéosynthèse du majeur, une révision et plastie des fléchisseurs de l’annulaire et de l’auriculaire, une neurolyse ainsi qu’une lipostructure de la paume de la main (doc. 275). Quelques jours plus tard, le Dr C.________ a réservé son pronostic suite à l’opération, répétant qu’une impotence fonctionnelle des trois doigts accidentés ainsi qu’une neuropathie allaient persister (rapport du 19 octobre 2018, doc. 261).</w:t>
      </w:r>
    </w:p>
    <w:p>
      <w:r>
        <w:t>Tribunal cantonal TC Page 10 de 15 9.7. Le 29 novembre 2018, le recourant a informé la Suva du fait que, en laçant ses chaussures, il avait perdu l’équilibre et s’était rattrapé en posant sa main droite contre le mur. Il a ainsi blessé sa main opérée (doc. 270). Deux semaines plus tard, le Dr C.________ a indiqué que le nouvel accident avait détendu la plastie effectuée récemment. Cette atteinte supplémentaire constituerait une nouvelle entrave et limiterait les possibilités de reconstruction locale (rapport du 14 décembre 2018, doc. 289). 9.8. A la fin de l’année 2018, le recourant a perdu son emploi. Dans la lettre de licenciement, l’employeur a souligné que les métiers de maçon et grutier n’étaient plus adaptés à sa condition physique et qu’une reconversion s’avérait indispensable (courrier du 18 octobre 2018, doc. 274. Il est précisé que la décision a été contestée par le recourant le 19 mai 2021, pièce 4 du bordereau du mémoire de recours). 9.9. Le 3 mai 2019, le Dr C.________ a pris note de la persistance du déficit de la flexion des doigts et d’une gêne paresthésiante sur l’annulaire avec signe de Tinel dans la paume de la main. Il a remarqué que la chute dont son patient avait été victime influençait de façon défavorable le processus de guérison (doc. 301). Quelques jours plus tard, le recourant s’est soumis à une synovectomie (= ablation chirurgicale de la muqueuse articulaire dans le but d'améliorer les symptômes et de conserver une articulation saine) étendue du compartiment palmaire du poignet droit, à une neurolyse du nerf digital commun, ainsi qu’à une mise en place d’un neurotube pour diminuer le status adhérentiel périnerveux (intervention du 14 mai 2019, doc. 310). 9.10. En automne 2019, le Dr C.________ a signalé une nette diminution des paresthésies du 4e doigt de la main droite et une amélioration de la neuropathie, mais a répété qu’une impotence fonctionnelle majeure de la main droite allait demeurer. Une reprise de l’activité habituelle serait ainsi impossible au vu du manque de force et de la difficulté dans la manipulation d’outils ou d’objets avec cette main dominante (rapport du 18 octobre 2019, doc. 321). 9.11. Au printemps 2020, la Dre B.________ a estimé que la situation pouvait être considérée comme stabilisée si aucune nouvelle chirurgie n’était envisagée (rapport du 21 mars 2020, doc. 340). En été 2020, le Dr C.________ a signalé une excellente évolution de la neuropathie de l’annulaire avec une quasi-disparition des symptômes gênants. Aucun traitement particulier ne serait proposé actuellement (rapport du 18 juin 2020, doc. 359). A cette même période, il a précisé avoir prescrit une dernière fois de l’ergothérapie (doc. 360). 9.12. Du 12 août 2020 au 9 septembre 2020, le recourant a séjourné dans le service de réadaptation de l’appareil locomoteur de G.________. Il a été examiné par la Dre D.________, spécialiste en médecine physique et réadaptation, et le Dr E.________, médecin assistant, qui ont rendu un rapport le 7 octobre 2020 (doc. 383). Les médecins ont retenu, à titre de diagnostic principal, un traumatisme de la main droite avec section des fléchisseurs profonds et superficiels. A titre de diagnostics secondaires, ils ont retenu une probable rupture secondaire des tendons fléchisseurs superficiels et profonds D3, D4 et D5,</w:t>
      </w:r>
    </w:p>
    <w:p>
      <w:r>
        <w:t>Tribunal cantonal TC Page 11 de 15 ainsi qu’un syndrome du tunnel carpien droit minime au décours. Le recourant se plaindrait de douleurs en regard des trois doigts accidentés (5/10 en moyenne et 7/10 à leur paroxysme), calmées par la mise au repos et aggravée par leur utilisation, ainsi que d’une limitation importante de mobilité avec des crampes en extension. Les médecins ont constaté un catastrophisme modéré chez ce patient anxieux, dont la participation aux thérapies a néanmoins été jugée comme élevée. Les limitations fonctionnelles seraient les suivantes : port de charge de plus de 15 kg, port de charges répété de plus de 5-10 kg, actions qui nécessiteraient une mobilité des trois doigts cubitaux de la main droite, mouvements nécessitant une force de préhension importante de la main droite. La situation était sur le point d’être stabilisée du point de vue médical. Le pronostic de réinsertion dans l’activité habituelle était défavorable, mais le recourant serait en mesure de reprendre une activité adaptée respectant les limitations fonctionnelles. 9.13. Le 31 octobre 2020, la Dre B.________ a considéré la situation comme stabilisée, admettant à cette occasion que l’état de santé s’était péjoré sur la base de l’exigibilité retenue par G.________ et répétant qu’une augmentation de l’IPAI n’était pas justifiée. En outre, elle a souligné le fait que le recourant aurait besoin d’ergothérapie, de faire des exercices et de porter éventuellement une attelle pour maintenir son état de santé actuel (doc. 385). Le 11 novembre 2020, le Dr C.________ n’a pas constaté de grandes modifications par rapport à son précédent rapport. Le recourant souffrirait d’une impotence majeure des doigts, impossibles à fléchir activement. Il ne pourrait ainsi pas effectuer des tâches simples et répétitives et des activités en charge (doc. 388). 9.14. Le 3 décembre 2020, la Suva a mis un terme au paiement des indemnités journalières et des soins médicaux avec effet au 1er mars 2021 (doc. 396). Par décision du 25 février 2021, elle a estimé que l’IPAI n’avait pas à être modifiée et a renoncé à modifier la rente de 35% allouée depuis 2009. En effet, elle a estimé que le recourant pourrait travailler dans une activité adaptée et a comparé le revenu qu’il percevait dans son ancienne activité avec celui qu’il pourrait exercer dans une activité adaptée, réduit de 10% pour tenir compte des limitations fonctionnelles. Elle est parvenue à la conclusion que le taux d’invalidité s’élevait à 21% (doc. 413). Le 25 mars 2021, puis le 6 mai 2021, le recourant s’est opposé à la décision (doc. 421). 9.15. Le 12 avril 2021, le Dr C.________ a indiqué que les nouvelles limitations consistaient en une perte de la flexion active interphalangienne proximale et distale du majeur, de l’annulaire et de l’auriculaire de la main droite. Tout verrouillage cubital serait ainsi impossible. Le recourant pourrait exercer une activité adaptée à 80%, avec un rendement de 80% et que, conformément à la table trois de la Suva, il devrait bénéficier d’une IPAI de 15% (doc. 427). 9.16. Par décision sur opposition du 27 août 2021, la Suva a confirmé sa décision du 25 février 2021.</w:t>
      </w:r>
    </w:p>
    <w:p>
      <w:r>
        <w:t>Tribunal cantonal TC Page 12 de 15 10. Discussion au sujet de l’exigibilité Il n’est pas contesté que le recourant n’est plus en mesure de travailler comme grutier. Son état de santé s’est ainsi, de ce point de vue, aggravé. Toutefois, les avis divergent sur la question de la capacité de travail dans un emploi adapté. 10.1. Dans leur rapport d’octobre 2020, la Dre D.________ et le Dr E.________ ont pris note du fait que le recourant ressentirait des douleurs en regard des trois doigts accidentés, dont la mobilité était limitée de manière importante (doc. 383). Ils ont ainsi retenu que le recourant pourrait reprendre une activité adaptée qui respecterait certaines limitations fonctionnelles (port de charge de plus de 15 kg, port de charges répété de plus de 5-10 kg, actions qui nécessiteraient une mobilité des doigts accidentés de la main droite, mouvements nécessitant une force de préhension importante de la main droite). Pour établir leur rapport, les médecins ont eu accès au dossier complet du recourant et ont fait intervenir différents spécialistes pour évaluer sa santé, soit un neurologue, un ergothérapeute, un spécialiste en médecine physique et réadaptation, un maître socioprofessionnel, une psychologue et une physiothérapeute. Ensemble, ils ont pu observer les limitations concrètes auxquelles le recourant devait faire face, notamment au sein des ateliers professionnels, lors d’activités telles que l’assemblage de pièces, la gravure, la soudure et le montage d’une table. Ils ont ainsi bénéficié d’une vision globale de la situation. De plus, leurs conclusions ne prêtent objectivement pas flanc à la critique. En effet, dans la mesure où les troubles se limitent à une douleur et à une impotence de la main droite, on peut raisonnablement estimer que le recourant serait en mesure de travailler dans un emploi qui nécessiterait une utilisation limitée de la main dominante. Cette analyse a par ailleurs été approuvée par la Dre B.________, qui s’y est référée lorsqu’elle a été interrogée au sujet des limitations fonctionnelles du recourant. L’évaluation de G.________, fouillée et cohérente, doit ainsi être considérée comme étant probante. Le fait qu’elle ne mentionne pas expressément le taux d’activité exigible ne renverse pas cette conclusion, contrairement à ce que soutient le recourant. En effet, les pourcentages d’incapacité de travail se rapportent en principe à une activité professionnelle exercée à plein temps, pour autant que les médecins ne précisent pas expressément qu’ils se réfèrent à un travail à temps partiel ou que cela ne ressorte du contexte de manière claire (arrêt TF 9C_34/2016 du 14 septembre 2016 consid. 3.1 et référence citée). Partant, lorsque G.________ retient que le recourant serait en mesure de travailler dans une activité adaptée, il peut être compris qu’elle se réfère à une activité à plein temps et sans diminution de rendement. 10.2. Le Dr C.________ est toutefois parvenu à une conclusion différente.</w:t>
      </w:r>
    </w:p>
    <w:p>
      <w:r>
        <w:t>Tribunal cantonal TC Page 13 de 15 Ce médecin ne conteste pas le diagnostic en lui-même, puisqu’il a, en avril 2021, relevé une perte de la flexion active interphalangienne proximale et distale du majeur, de l’annulaire et de l’auriculaire de la main droite. Il soutient cependant que son patient ne pourrait exercer une activité adaptée qu’à 80%, avec un rendement de 80%. On peine cependant à comprendre cette dernière conclusion, que le médecin ne motive par ailleurs nullement. En effet, le Dr C.________ a retenu, tout comme ses confrères de G.________, une impotence de la main droite. En dehors de ce trouble, le recourant semblait être en bon état de santé général. Ainsi, on ne voit pas pourquoi il ne serait pas en mesure de travailler à temps plein dans un emploi qui ne demanderait pas d’effort au niveau de ce membre. De plus, le médecin a fixé l’exigibilité de manière purement théorique. Contrairement aux différents intervenants de G.________, il n’a pas eu l’occasion d’observer concrètement les capacités résiduelles de son patient et la manière dont celui-ci gérait son handicap. Finalement, on ne peut exclure que le Dr C.________, en sa qualité de médecin traitant, soit allé dans un sens plutôt favorable à son patient, le rapport de confiance l'unissant à ce dernier étant susceptible de créer une empathie et pouvant potentiellement l’amener à prendre parti en sa faveur. Partant, son avis sur la question de l’éligibilité peut être écarté. 10.3. Au vu de tout ce qui précède, il est retenu que le recourant est en mesure de travailler à plein temps dans une activité adaptée. Les revenus de valide et d’invalide fixés par la Suva ne prêtent pas flanc à la critique, ce d’autant moins que, sur le second montant, l’autorité a procédé à un abattement de 10% pour tenir compte des limitations fonctionnelles. Ils peuvent ainsi être confirmés. C’est ainsi à juste titre que l’autorité a maintenu le taux de la rente qui avait été fixé en 2009 à 35% sur une base transactionnelle. La décision attaquée doit donc être confirmée. 11. Discussion au sujet de l’IPAI 11.1. En 2009, la Suva a alloué une IPAI de 10%. Elle se basait sur un rapport de son médecin conseil, le Dr F.________, qui lui-même se référait au tableau 3 de la Suva qui fixe l’atteinte à l’intégrité résultant de la perte d’un ou plusieurs segments des membres supérieurs (doc. 39). Le médecin a relevé que, selon la figure 39 de ce tableau, l’amputation du majeur, de l’annulaire et de l’auriculaire donnait droit à une IPAI de 17.50%. Toutefois, dans la mesure où le recourant n’avait en l’espèce pas perdu ses doigts mais qu’il souffrait « d’une très importante diminution de flexion et […] d’une diminution de la force de préhension de la main droite », il a adapté ce taux et l’a fixé à 10%.</w:t>
      </w:r>
    </w:p>
    <w:p>
      <w:r>
        <w:t>Tribunal cantonal TC Page 14 de 15 11.2. Aujourd’hui, selon le rapport de G.________ d’octobre 2020, le recourant ressentirait des douleurs dans les trois doigts accidentés, qui ont perdu leur mobilité. Ainsi, les limitations constatées actuellement diffèrent peu de celles retenues en 2019, malgré l’aggravation de l’état de santé. Il ne se justifie dès lors pas de modifier l’IPAI, étant rappelé que, aux termes de l'art. 36 al. 4 OLAA, l’indemnité fixée en 2009 tenait équitablement compte des aggravations prévisibles de l'atteinte à l'intégrité et qu’une révision n'est possible qu'en cas exceptionnel, si l'aggravation est importante et n'était pas prévisible, ce qui n’est pas le cas en l’espèce. La Dre B.________ est d’ailleurs arrivée à la même conclusion en estimant que les limitations ont déjà été suffisamment prises en compte en 2009 (doc. 385). 11.3. Le Dr C.________ est certes d’avis que l’IPAI devrait s’élever à 15% : « Sur les bases de la table 3 de la Suva, on peut estimer la perte de fonction complète du majeur annulaire et auriculaire de la main droite. Il s’agit de la main dominante. On peut donc raisonnablement retenir une atteinte de l’intégrité à 15% » (doc. 427). Toutefois, comme il a été dit, les limitations ne se sont pas fondamentalement modifiées, de sorte qu’un changement ne se justifie pas. De plus, il semble que le médecin ait proposé le taux applicable en cas de perte des deux premières phalanges du majeur, annulaire et auriculaire (figure 38 du tableau 3 de la Suva). Or, dans la mesure où le recourant n’a pas perdu ses doigts, ce chiffre se devait d'être adapté. Par conséquent, le taux de 10% fixé en 2009 n’a pas à être modifié. 12. Discussion au sujet de l’art. 21 LAA Le recourant se plaint enfin de ce que la Suva n’a pas tenu compte du fait qu’il aurait besoin d’un traitement médical pour maintenir son état de santé actuel (ergothérapie, exercices physiques et port d’une attelle selon le rapport du 31 octobre 2020 de la Dre B.________, doc. 385). L’autorité aurait ainsi omis de se prononcer sur cette prise en charge au sens de l’art. 21 LAA. Or, seules les questions relatives à l’augmentation de la rente et de l’IPAI faisaient l’objet de la décision (et de la décision sur opposition) de la Suva. Le recourant, par ses critiques, s’écarte donc de l’objet du litige, de sorte que ce dernier grief doit être déclaré irrecevable. 13. Frais et indemnité de partie Compte tenu de tout ce qui précède, le recours doit être rejeté et la décision sur opposition du 27 août 2021 confirmée. Il n'est pas perçu de frais de justice ni alloué d’indemnité de partie.</w:t>
      </w:r>
    </w:p>
    <w:p>
      <w:r>
        <w:t>Tribunal cantonal TC Page 15 de 15 la Cour arrête : I. Le recours est rejeté. Partant, la décision sur opposition du 27 août 2021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