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16 vom 20. Dezember 2021</w:t>
      </w:r>
    </w:p>
    <w:p>
      <w:r>
        <w:t>FR Kantonsgericht, 2021-12-20, FR</w:t>
      </w:r>
    </w:p>
    <w:p>
      <w:r>
        <w:rPr>
          <w:b/>
        </w:rPr>
        <w:t xml:space="preserve">Quelle: </w:t>
      </w:r>
      <w:r>
        <w:t>https://mcp.opencaselaw.ch/entscheid/fr_gerichte_605_2021_16</w:t>
      </w:r>
    </w:p>
    <w:p>
      <w:r>
        <w:t>FR: FR_GERICHTE 605 2021 16 du 20 décembre 2021</w:t>
      </w:r>
    </w:p>
    <w:p>
      <w:r>
        <w:t>IT: FR_GERICHTE 605 2021 16 del 20 dicembre 2021</w:t>
      </w:r>
    </w:p>
    <w:p>
      <w:pPr>
        <w:pStyle w:val="Heading2"/>
      </w:pPr>
      <w:r>
        <w:t>Regeste</w:t>
      </w:r>
    </w:p>
    <w:p>
      <w:r>
        <w:t>Arrêt de la Ie Cour des assurances sociales du Tribunal cantonal | Invalidenversicherung</w:t>
      </w:r>
    </w:p>
    <w:p>
      <w:pPr>
        <w:pStyle w:val="Heading2"/>
      </w:pPr>
      <w:r>
        <w:t>Erwägungen</w:t>
      </w:r>
    </w:p>
    <w:p>
      <w:r>
        <w:rPr>
          <w:b/>
        </w:rPr>
        <w:t>E. 26</w:t>
      </w:r>
    </w:p>
    <w:p>
      <w:r>
        <w:t>octobre 2020. Elle a demandé un nouveau projet de décision (dossier OAI, p. 537 et 538). D. Par acte du 21 janvier 2021, la recourante, désormais représentée par Me Overney, avocat à Fribourg, interjette recours contre la décision. Elle conclut, avec suite de frais et dépens, principalement à son annulation et à la mise en œuvre d'une mesure d'insertion, puis de mesures d'ordre professionnel ainsi qu'à l’octroi d’une rente d'invalidité complète à compter du 29 octobre 2020. Subsidiairement, elle conclut à la mise en œuvre de mesures d'observation, puis de réinsertion et d'ordre professionnel ainsi qu'à l'octroi d'une rente complète dès le 29 octobre 2020. A titre plus</w:t>
      </w:r>
    </w:p>
    <w:p>
      <w:r>
        <w:t>Tribunal cantonal TC Page 3 de 11 subsidiaire, elle demande qu'une expertise judiciaire soit ordonnée et qu'elle complétera ses conclusions ensuite. A l'appui de celles-ci, elle conteste la capacité de travail retenue par les experts. Elle affirme que l'expertise bidisciplinaire contient des contradictions aussi bien à l'interne qu'avec les autres rapports médicaux versés au dossier. Le 1er mars 2021, l'OAI répond au recours et conclut à son rejet en se référant au dossier constitué et plus particulièrement à l'expertise bidisciplinaire ainsi qu'aux avis de son SMR. Il sera fait état des arguments, développés par les parties à l'appui de leurs conclusions, dans les considérants de droit du présent arrêt, pour autant que cela soit utile à la solution du litige. en droit 1. Interjeté en temps utile compte tenu des féries judiciaires de fin d'année (art. 38 al. 4 let. c de la loi fédérale du 6 octobre 2000 sur la partie générale du droit des assurances sociales [LPGA; RS 830.1], applicable par le renvoi de l'art. 1 al. 1 de la loi fédérale du 19 juin 1959 sur l'assurance-invalidité [LAI; RS 831.20]),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 2. Aux termes de l'art. 8 al. 1 LPGA, est réputée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w:t>
      </w:r>
    </w:p>
    <w:p>
      <w:r>
        <w:t>Tribunal cantonal TC Page 4 de 11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3. 3.1.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3 LAI, les mesures de réadaptation comprennent – entre autres mesures – celles de réinsertion préparant à la réadaptation professionnelle (let. abis) et celles d'ordre professionnel (let. b). En vertu de l'art. 14a al. 1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œuvre de mesures d'ordre professionnel. En matière de réadaptation, on distingue notamment la formation professionnelle initiale (art. 16 LAI) des mesures de reclassement (art. 17 LAI). 3.2. L’art. 17 al. 1 LAI énonce qu’un assuré a droit au reclassement dans une nouvelle profession si son invalidité rend cette mesure nécessaire et que sa capacité de gain peut ainsi, selon toute vraisemblance, être maintenue ou améliorée.</w:t>
      </w:r>
    </w:p>
    <w:p>
      <w:r>
        <w:t>Tribunal cantonal TC Page 5 de 11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 3.3. Selon l'art. 18 al. 1 LAI, l'assuré présentant une incapacité de travail (art. 6 LPGA) et susceptible d'être réadapté a droit à un soutien actif dans la recherche d'un emploi approprié (let. a) et à un conseil suivi afin de conserver un emploi (let. b). La notion de placement recouvre, à titre de prestations d’assurance, le soutien actif de l’assuré dans sa recherche d’un emploi, les mesures destinées au maintien du poste de travail, les conseils dispensés à l’employeur, l’indemnité en cas d’augmentation des cotisations, et l’allocation d’initiation au travail (Circulaire sur les mesures de réadaptation d’ordre professionnel [CMRP] édictée par l'OFAS, n. 5001). Depuis le 1er janvier 2012, la notion de placement comprend également le placement à l’essai, régie par l’art. 18a LAI. Aux termes de cette disposition,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Le placement à l’essai permet de placer l’assuré, pendant une période donnée, au sein d’une entreprise du marché primaire de l’emploi afin de tester sa capacité de travail. L’objectif du placement à l’essai est d’apprécier au mieux, sur le marché primaire de l’emploi, la capacité de travail de l’assuré dans une activité tenant compte des limitations dues à son état de santé. Cette mesure s’adresse aux assurés aptes à la réadaptation dont les capacités sont réduites pour raison de santé. Elle peut être octroyée que l’assuré touche ou non une rente. Le placement à l’essai s’inscrit dans un processus global de réadaptation (au moins partielle) sur le marché primaire de l’emploi. S’il débouche sur un contrat de travail, une allocation d’initiation au travail peut alors être octroyée à l’entreprise (CMRP, n. 5017ss). 3.4.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w:t>
      </w:r>
    </w:p>
    <w:p>
      <w:r>
        <w:t>Tribunal cantonal TC Page 6 de 11 d'au moins 40% en moyenne durant une année sans interruption notable et si au terme de cette année, il est invalide (art. 8 LPGA) à 40% au moins. En vertu de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w:t>
      </w:r>
    </w:p>
    <w:p>
      <w:r>
        <w:t>Tribunal cantonal TC Page 7 de 11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4.3.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5. La question litigieuse est de savoir si c'est à bon droit que l'OAI a retenu que les capacités de travail et de gain de la recourante sont entières. Pour y répondre, il convient de déterminer la capacité de travail de la recourante en procédant à une appréciation médicale de sa situation. 5.1. L'OAI s'est essentiellement référé au rapport d'expertise psychiatrique et rhumatologique qu’il a fait établir pour constater que la recourante ne présente aucune atteinte invalidante au sens de la LAI et considérer que les capacités de travail et de gain étaient complètes. De son côté, la recourante critique l'expertise, notamment car elle comporte selon elle des contradictions et ne respecte pas la jurisprudence récente en la matière. Elle se réfère ensuite au dossier de l'OAI, affirmant qu'il contient un très grand nombre de rapports médicaux qui démontrent de sérieuses difficultés de santé. 5.2. Il convient de se pencher en premier lieu sur l'expertise bidisciplinaire. 5.2.1. D'un point de vue formel, l'expertise répond aux exigences de base posées par la jurisprudence. En effet, on observe que les examens cliniques ont duré une heure pour le somatique et une heure et dix minutes pour le psychiatrique. Les experts notent tout d'abord les motifs et</w:t>
      </w:r>
    </w:p>
    <w:p>
      <w:r>
        <w:t>Tribunal cantonal TC Page 8 de 11 circonstances de l'expertise. Le dossier médical de la recourante est ensuite synthétisé et dûment pris en compte par les experts. Ils font un résumé médico-assécurologique commun. Puis, chaque expert réalise un examen individuel avec la recourante. Ils s'entretiennent avec elle, reportent les indications fournies spontanément et approfondissent certains domaines spécifiques (familial, affections actuelles, antécédents, troubles actuels, etc.). Ils résument de manière circonstanciée son parcours professionnel, sa journée-type, les traitements suivis puis ils font part de leurs propres constatations et posent les diagnostics. L'expert psychiatre ne traite pas spécifiquement les indicateurs étant donné qu'il ne retient aucun diagnostic incapacitant (cf. consid. 5.3) Ils terminent les examens individuels en faisant l'évaluation médicale, médico-assurantielle et répondent aux questions de l'OAI. Aux termes des examens séparés, les experts procèdent à l'évaluation consensuelle. 5.2.2. D'un point de vue matériel, la recourante soulève tout d'abord des contradictions entre les différentes parties de l'expertise. Pour illustrer ces contradictions, elle met en exergue plusieurs passages du rapport où les experts reportent ses déclarations (page 29, 37 et 38) et elle relève le fait que les experts concluent à d'éventuelles mesures de réadaptation et recommandent une évaluation en milieu académique universitaire d'un éventuel trouble hyper-kinétique. Elle estime qu'ils se contredisent en rédigeant ce qui précède puis en établissant une capacité de travail entière. A titre préliminaire, il faut préciser que les extraits mis en évidence par la recourante se situent dans la partie sur l'expertise psychiatrique et n'émanent pas consensuellement des deux experts. Ensuite, le fait que la recourante déclare ne pas aller bien et que le Dr E.________ constate qu'elle n'est ni démonstrative, ni procédurière, ne permet pas pour autant de retenir de diagnostic psychiatrique incapacitant. L'expert a fait ses propres constatations objectives, sur la base des déclarations de la recourante certes, mais il a par la suite effectué un travail d'analyse et de réflexion qui lui aurait éventuellement permis de poser des diagnostics incapacitants. Ce qui n'est en l'espèce pas le cas. S'agissant des mesures de réadaptation abordées par l'expert-psychiatre, celui-ci se contente de donner son avis sur ce qu'il estime utile, mais ce n'est ni à lui de décréter si elles doivent être ordonnées, ni à lui de définir qui est compétent pour mettre ces mesures en place. D'ailleurs, au vu du rapport d'expertise, de sa capacité de travail et de gain entière, les conditions pour un reclassement ne sont pas remplies (cf. consid. 3.2). Enfin, ces mesures de réadaptation pourraient parfaitement être entreprises par la recourante elle-même si elle estime qu'elles seraient bénéfiques. Concernant l'éventuel trouble hyper-kinétique, l'expert écrit que sa présence probante n'est pas retenue ce jour durant l'examen de plus de nonante minutes. Il ajoute que "les chances de guérison d'une absence de psychopathologie spécifique en dehors d’un éventuel trouble hyper-kinétique, sans gravité cependant, sont excellentes". Il invoque un trouble potentiel qu'il y aurait lieu de creuser dans un milieu spécialisé mais explique qu'il est sans gravité. Si l'expert estimait que le trouble hyper-kinétique pouvait avoir une influence sur la capacité de travail, il aurait fait le nécessaire pour approfondir ce trouble étant donné que le mandat donné par l'OAI au Dr E.________ était d'évaluer la capacité de travail. Il s'agit donc d'une simple piste qu'il creuserait mais sans pour autant cerner une quelconque atteinte incapacitante. Enfin, ce trouble éventuel ne ressort d'aucun autre rapport médical versé au dossier. Force est de constater que les experts ne se contredisent pas. Leurs appréciations et constatations sont en phase avec l'absence de diagnostics incapacitant, ainsi qu’avec les réponses aux questions de l'OAI.</w:t>
      </w:r>
    </w:p>
    <w:p>
      <w:r>
        <w:t>Tribunal cantonal TC Page 9 de 11 La recourante estime ensuite que son parcours professionnel illustre la réalité des difficultés qu'elle a connues durant sa vie professionnelle. Elle soulève une contradiction entre des certificats de travail élogieux et un parcours professionnel chaotique ponctué d'ennuis de santé. Elle critique le fait que les experts n'en discutent pas. Le Dr E.________ note que le parcours professionnel est éclectique et que, en dix ans, elle a connu treize employeurs (expertise, p. 39). Le Dr D.________ indique lui aussi que, depuis 2005, elle a exercé chez de nombreux employeurs avec de longues périodes de chômage et d'arrêts pour cause de maladie (expertise, p. 26). Les experts étaient mandatés pour établir les atteintes à la santé et la capacité de travail de la recourante. Ils n'avaient pas à discuter des raisons des changements d’emploi ou émettre des conclusions sur la base du parcours professionnel. Le parcours professionnel peut être un indice, il a d'ailleurs été reporté par les deux experts, mais il ne peut aucunement leur être reproché des lacunes ou contradictions dans leur rapport parce qu'ils n'ont pas approfondi ce thème, ce n'était pas de leur ressort. 5.3. La recourante critique plus spécifiquement le volet psychiatrique du fait que l'expert n'a pas appliqué les principes ressortant de l'ATF 141 V 281. Elle prétend que "le rapport d'expertise et le contrat sont en contradiction avec les critères posés par la jurisprudence dans l'arrêt précité". Comme l'expert-psychiatre ne pose aucun diagnostic incapacitant, il n'était pas nécessaire de procéder à une analyse de la situation sur la base des indicateurs ressortant de la jurisprudence précitée. Cela étant, comme le souligne à juste titre le SMR dans son avis du 7 septembre 2020, les indicateurs ont tout de même été pris en compte de manière pertinente (dossier OAI, p. 498). En effet, il y a lieu de constater que l'expert a considéré les ressources personnelles ainsi que le contexte familial et social dans lequel la recourante évolue. Il a noté les nombreuses activités spontanées, que ce soit dans ses loisirs, le sport ou au niveau artistique. Au niveau social, il a tenu compte de sa ponctualité, du fait qu'elle était compliante, qu'elle se présentait à l'entretien dans une tenue corporo-vestimentaire adéquate. Il a considéré qu'elle intègre les règles et sait s'y adapter, qu'elle entre aisément en contact avec autrui et sait défendre ses convictions sans violer les normes sociales. Il a retenu que l'orientation, la mémoire, l'attention, le raisonnement sont dans la norme. S'agissant des offres thérapeutiques existantes, la recourante consulte régulièrement (bimensuellement) un psychiatre et un médecin généraliste. 5.4. En définitive, l'expertise bidisciplinaire est complète, développée, documentée, cohérente et exempte de contradiction. Les rapports médicaux figurant au dossier et invoqués par la recourante ont dûment été pris en considération et examinés par les experts. Celle-ci reconnaît d'ailleurs que le rapport d'expertise "fait allusion à un certain nombre de rapports médicaux montrant de grandes difficultés de santé". Or, les experts ne se contentent pas d'y faire allusion mais ils synthétisent, sur plus de six pages, le dossier et notamment dix-sept rapports médicaux de psychiatres, ophtalmologues, généralistes, rhumatologues. Les experts reportent systématiquement les diagnostics posés, les incapacités de travail retenus et les appréciations des médecins. Ensuite, dans le résumé médico-assécurologique commun, les experts discutent des diagnostics et éventuelles incapacités de travail retenus par les autres spécialistes (dossier OAI, p. 464). On peut ainsi intégralement adhérer aux conclusions des experts.</w:t>
      </w:r>
    </w:p>
    <w:p>
      <w:r>
        <w:t>Tribunal cantonal TC Page 10 de 11 5.5. La recourante produit encore deux rapports médicaux de la Dre F.________, spécialiste en médecine interne, et de la Dre G.________, spécialiste en psychiatrie et psychothérapie. 5.5.1. La Dre F.________ indique suivre la recourante depuis l'automne 2019 et affirme que sa patiente n'est pas apte à exercer une activité lucrative à 100%. Elle fonde son avis sur le parcours professionnel de l'assurée et critique ensuite l'expertise psychiatrique. Puis, elle se réfère à l'avis de la Dre G.________ et rejoint son appréciation sur la capacité de travail. Le rapport ne mentionne rien concernant les consultations et d'éventuelles examens cliniques. En se fondant sur le parcours professionnel "plus que chaotique" et sur le fait que ce parcours "montre qu'elle n'est pas apte à travailler" ainsi qu'en se référant à l'appréciation d'un autre médecin, l'avis médical de la Dre F.________ ne permet pas de remettre en cause l'expertise bidisciplinaire. 5.5.2. De son côté, la Dre G.________ rappelle tout d'abord le diagnostic qu'elle avait posé dans des rapports des 3 avril et 18 décembre 2020, à savoir un trouble de la personnalité émotionnelle labile. Elle explique ensuite en quoi consiste ce trouble et le moment où il peut apparaître. Elle écarte le diagnostic d'un trouble du déficit de l'attention et de l'hyperactivité. Elle remet en cause la classification utilisée par l'expert qu'elle décrit comme étant catégorielle, purement descriptive et ne permettant pas de représenter suffisamment l'hétérogénéité des patients. Elle considère que l'expert a surestimé les ressources psychiques de sa patiente. Elle considère qu'une reprise progressive entre 30% et 40% dans un cadre adapté serait envisageable. Les experts ont pris en compte le rapport du 3 avril 2020. Quant au rapport du 18 décembre 2020, il est postérieur à l'expertise. Ils ont reporté la diminution de rendement ainsi que les diagnostics avec et sans effet sur la capacité de travail dont le rapport fait état. Par la suite, ils en discutent dans le résumé médico-assécurologique commun, sans pour autant suivre son avis (expertise, p. 13). Concernant son dernier rapport, la psychiatre traitante critique la classification utilisée (CIM-10) et le fait que l'expert surestime les ressources psychiques. Elle évoque des éléments théoriques et généraux. Elle se contente d'opposer son avis sans apporter d'éléments objectifs permettant de remettre en cause les appréciations de l'expert. 5.5.3. En conclusion, les deux rapports produits dans le cadre du recours n'apportent aucun élément médical pertinent et objectif qui imposerait de s'écarter de l'expertise. 5.6. L'expertise bidisciplinaire bénéficie de la force probante nécessaire pour attester de la capacité de travail de la recourante. Les experts considèrent que cette capacité est entière et leurs appréciations, pleinement convaincantes, peuvent être intégralement reprises. Dans la mesure où la recourante a une pleine capacité de travail, la capacité de gain est entière et l'OAI n'avait pas à mettre en œuvre de mesure d'ordre professionnel ou à allouer de rente. C'est dès lors à juste titre qu'il a rejeté la demande de prestations. 6. 6.1. Mal fondé, le recours doit être rejeté et la décision querellée confirmée. 6.2. La procédure n'étant pas gratuite (art. 69 al. 1bis LAI), les frais de justice sont fixés à CHF 800.- et sont mis à la charge de la recourante. Ils sont compensés avec l’avance de frais versée le 4 février 2021. 6.3. Vu le sort du recours, il n'est pas alloué d'indemnité de partie.</w:t>
      </w:r>
    </w:p>
    <w:p>
      <w:r>
        <w:t>Tribunal cantonal TC Page 11 de 11 la Cour arrête : I. Le recours est rejeté. II. Les frais de justice, fixés à CHF 800.-, sont mis à la charge de la recourante.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décembre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