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77 vom 8. März 2021</w:t>
      </w:r>
    </w:p>
    <w:p>
      <w:r>
        <w:t>FR Kantonsgericht, 2021-03-08, FR</w:t>
      </w:r>
    </w:p>
    <w:p>
      <w:r>
        <w:rPr>
          <w:b/>
        </w:rPr>
        <w:t xml:space="preserve">Quelle: </w:t>
      </w:r>
      <w:r>
        <w:t>https://mcp.opencaselaw.ch/entscheid/fr_gerichte_605_2020_77</w:t>
      </w:r>
    </w:p>
    <w:p>
      <w:r>
        <w:t>FR: FR_GERICHTE 605 2020 77 du 8 mars 2021</w:t>
      </w:r>
    </w:p>
    <w:p>
      <w:r>
        <w:t>IT: FR_GERICHTE 605 2020 77 del 8 marzo 2021</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à la forme. En outre, le recourant, dûment représenté, est directement atteint par la décision querellée et possède dès lors un intérêt digne de protection à ce qu'elle soit, cas échéant, annulée ou modifiée. Partant, il y a lieu d'entrer en matière sur les mérites du recours.</w:t>
      </w:r>
    </w:p>
    <w:p>
      <w:r>
        <w:rPr>
          <w:b/>
        </w:rPr>
        <w:t>E. 2</w:t>
      </w:r>
    </w:p>
    <w:p>
      <w:r>
        <w:t>Dispositions relatives à l'invalidité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rPr>
          <w:b/>
        </w:rPr>
        <w:t>E. 3</w:t>
      </w:r>
    </w:p>
    <w:p>
      <w:r>
        <w:t>Dispositions relatives à l'appréciation des preuves Dans le droit des assurances sociales, la règle du degré de vraisemblance prépondérante est généralement appliquée.</w:t>
      </w:r>
    </w:p>
    <w:p>
      <w:r>
        <w:rPr>
          <w:b/>
        </w:rPr>
        <w:t>E. 3.1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w:t>
      </w:r>
    </w:p>
    <w:p>
      <w:r>
        <w:t>Tribunal cantonal TC Page 4 de 11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4</w:t>
      </w:r>
    </w:p>
    <w:p>
      <w:r>
        <w:t>Discussion quant à l'évaluation de la capacité de travail Il convient, dans un premier temps, d'examiner la problématique de la capacité de travail de l'assuré, laquelle a une incidence sur son droit aux prestations, y compris en matière de mesures de réadaptation.</w:t>
      </w:r>
    </w:p>
    <w:p>
      <w:r>
        <w:rPr>
          <w:b/>
        </w:rPr>
        <w:t>E. 4.1</w:t>
      </w:r>
    </w:p>
    <w:p>
      <w:r>
        <w:t>Dans sa décision du 6 avril 2020, l’OAI a retenu que l’assuré n’était plus en mesure de travailler dans son ancienne activité mais demeurait entièrement apte à travailler dans une activité adaptée. Cette activité devait, en substance, respecter les limitations fonctionnelles suivantes: "pas de port de charges répétés supérieurs à 15 kg; pas de mouvements répétitifs du poignet droit en flexion- extension ainsi qu’en inclinaison radio-cubitale et en pronosupination; pas de travaux de force avec la main et le poignet droit ainsi que pour l’usage de marteau ou d’objets vibrants".</w:t>
      </w:r>
    </w:p>
    <w:p>
      <w:r>
        <w:t>Tribunal cantonal TC Page 5 de 11</w:t>
      </w:r>
    </w:p>
    <w:p>
      <w:r>
        <w:rPr>
          <w:b/>
        </w:rPr>
        <w:t>E. 4.2</w:t>
      </w:r>
    </w:p>
    <w:p>
      <w:r>
        <w:t>L'appréciation de la capacité de travail semble se fonder sur les conclusions du Dr E.________ dont l'office s'est fait produire une copie du rapport d'expertise (rapport du 14 mars 2019, dossier OAI, p. 52). Cependant, l'extrait au dossier ne comporte que les pages impaires de ce rapport. Ainsi, l'on est en mesure de comprendre que l'expert confirme que, dans l’ancienne activité, l’assuré présente une incapacité de travail totale. L'on est également en mesure de prendre connaissance des limitations fonctionnelles retenues par l'expert et reprises par l'OAI dans sa décision. En revanche, les pages impaires de l'expertise ne permettent pas seules de déterminer dans quelle mesure l'assuré serait apte à travailler dans une activité respectant les limitations retenues par l'expert. Elles ne permettent pas non plus d'évaluer la valeur probante du rapport selon les critères prévus par la jurisprudence.</w:t>
      </w:r>
    </w:p>
    <w:p>
      <w:r>
        <w:rPr>
          <w:b/>
        </w:rPr>
        <w:t>E. 4.3</w:t>
      </w:r>
    </w:p>
    <w:p>
      <w:r>
        <w:t>Cela étant, ce constat ne met pas en cause l'appréciation de la capacité de travail du recourant dans une activité adaptée. En effet, l'on remarque que l'information manquante quant à la capacité de travail dans une activité adaptée figure dans les considérants de la décision de l'assurance-accidents du 21 juin 2019, sous la forme suivante: "le médecin-expert évalue votre capacité de travail comme étant entière dans une activité adaptée, à savoir tous les travaux qui ne nécessitent pas de force avec la main et le poignet droit ainsi que l’usage de marteau ou d’objets vibrants et limitant le port de charge" (dossier OAI, p. 40). Par ailleurs, l'on constate que l'appréciation du Dr F.________, spécialiste en chirurgie orthopédique et traumatologie de l'appareil locomoteur et en chirurgie de la main, est proche de celles du Dr E.________. Ce médecin admet ainsi que son patient dispose d'une pleine capacité de travail dans une activité adaptée. Certes, il estime qu'une activité adaptée doit respecter des limitations légèrement plus strictes que celles évoquées par le Dr E.________ estimant le port de charge limité entre 2 et 5 kg au lieu de 15 kg (dossier OAI, p. 32). Toutefois, ainsi qu'on le verra (consid. 6.3), cette différence d'appréciation n'a pas d'incidence notable sur le calcul du degré d'invalidité. Enfin, l'évaluation de la capacité de travail n'est pas contestée par le recourant. Non seulement les conclusions de l'expert n'ont pas été formellement mises en causes – que cela soit dans le cadre de la présente procédure ou par un recours contre la décision de l'assurance-accidents – mais l'assuré admet même expressément être toujours en mesure de travailler à temps plein dans une activité adaptée. Dans ce contexte et compte tenu du principe d'économie de procédure, la Cour statue en l'état du dossier et renonce à renvoyer la cause à l'autorité intimée pour qu'elle complète son dossier. La Cour retient que l'assuré demeure en mesure de travailler à temps plein, sans perte de rendement, dans une activité adaptée.</w:t>
      </w:r>
    </w:p>
    <w:p>
      <w:r>
        <w:t>Tribunal cantonal TC Page 6 de 11</w:t>
      </w:r>
    </w:p>
    <w:p>
      <w:r>
        <w:rPr>
          <w:b/>
        </w:rPr>
        <w:t>E. 5</w:t>
      </w:r>
    </w:p>
    <w:p>
      <w:r>
        <w:t>Dispositions relatives au calcul du degré d'invalidité</w:t>
      </w:r>
    </w:p>
    <w:p>
      <w:r>
        <w:rPr>
          <w:b/>
        </w:rPr>
        <w:t>E. 5.1</w:t>
      </w:r>
    </w:p>
    <w:p>
      <w:r>
        <w:t>La loi consacre trois régimes distincts d'évaluation de l'invalidité, qui, pour une même atteinte à la santé, peuvent aboutir à des conséquences assécurologiques sensiblement différentes (arrêt TF 9C_790/2010 du 8 juillet 2011 consid. 5.5.1).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5.2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w:t>
      </w:r>
    </w:p>
    <w:p>
      <w:r>
        <w:rPr>
          <w:b/>
        </w:rPr>
        <w:t>E. 5.3</w:t>
      </w:r>
    </w:p>
    <w:p>
      <w:r>
        <w:t>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 On ne saurait toutefois se fonder sur des possibilités de travail irréalistes. Ainsi, on ne peut parler d'une activité exigible au sens de</w:t>
      </w:r>
    </w:p>
    <w:p>
      <w:r>
        <w:t>Tribunal cantonal TC Page 7 de 11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w:t>
      </w:r>
    </w:p>
    <w:p>
      <w:r>
        <w:rPr>
          <w:b/>
        </w:rPr>
        <w:t>E. 6</w:t>
      </w:r>
    </w:p>
    <w:p>
      <w:r>
        <w:t>Discussion quant au calcul du degré d'invalidité</w:t>
      </w:r>
    </w:p>
    <w:p>
      <w:r>
        <w:rPr>
          <w:b/>
        </w:rPr>
        <w:t>E. 6.1</w:t>
      </w:r>
    </w:p>
    <w:p>
      <w:r>
        <w:t>En l'occurrence, il ressort de l'attestation de l'employeur que l'assuré aurait pu obtenir un revenu de CHF 59'800.- en 2018 (dossier OAI, p. 67). Aucun élément au dossier ne permet de conclure qu’il aurait pu obtenir un revenu plus important cette année-là. Outre ce qui relevé ci-après (cf. consid. 8), l'on constate que l'obtention alléguée d'un CFC par le biais d'une reconnaissance des acquis n'aurait pu survenir qu'à l'échéance d'une activité de 5 ans en tant que laborantin, soit, compte tenu des différents taux d'emploi, en 2020 au plus tôt. Cet événement serait donc vraisemblablement survenu postérieurement à la période examinée dans le cadre de la décision litigieuse. Ce montant de CHF 59'800.- doit être adapté à l'évolution des salaires nominaux, l'année 2019 correspondant aux derniers chiffres à disposition (indices de 103.5323 pour 2018 et 103.9607 pour 2019, cf. OFS, T1.10 Indice des salaires nominaux par branches 2011-2017, 86-88 Santé, hébergement médico-social et action sociale). Partant, le revenu de valide est fixé à CHF 60'047.45.</w:t>
      </w:r>
    </w:p>
    <w:p>
      <w:r>
        <w:rPr>
          <w:b/>
        </w:rPr>
        <w:t>E. 6.2</w:t>
      </w:r>
    </w:p>
    <w:p>
      <w:r>
        <w:t>En l'absence d'un revenu effectivement réalisé, il convient de se référer au montant mensuel de CHF 5'340.-, soit CHF 64'080.- annuellement, correspondant au salaire médian du secteur privé selon les chiffres de l'Enquête suisse sur la structure des salaires 2016 (ESS 2016, TA1_Skill level, totaux, niveau de compétences 1, hommes). Dès lors que le TA1, niveau de compétence 1, de l'ESS comprend un large éventail d'activités, on peut, en effet, admettre qu'un nombre significatif d'entre elles est adapté aux limitations et aux aptitudes du recourant sur le marché du travail équilibré (cf. arrêts TF 9C_830/2017 du 16 mars 2018 consid. 5; 8C_381/2017 du 7 août 2017 consid. 4.2.2; 9C_833/2017 du 20 avril 2018 consid. 5.1). La référence au niveau de compétence 1 permet, pour sa part, de tenir compte du fait que le recourant ne possède aucune autre formation ou expérience dans ces domaines, absence influençant manifestement le revenu auquel il pourrait prétendre et justifiant de se référer au grand</w:t>
      </w:r>
    </w:p>
    <w:p>
      <w:r>
        <w:t>Tribunal cantonal TC Page 8 de 11 groupe 9 de la classification internationale du type des professions (CITP; professions élémentaires). Ce montant doit être adapté à l'évolution des salaires nominaux (soit CHF 65'224.80, indices de 2239 pour 2016 et 2279 pour 2019, cf. OFS, T39 Evolution des salaires nominaux, des prix à la consommation et des salaires réels, hommes et prendre en compte la durée usuelle du travail de 41.7 heures par semaine en 2019 (CHF 67'996.85, cf. OFS, Durée normale du travail dans les entreprises selon la division économique, Tous les secteurs). Au vu de la capacité de travail de 100% qui a été retenue, le revenu d'invalide est fixé à CHF 67'996.85.</w:t>
      </w:r>
    </w:p>
    <w:p>
      <w:r>
        <w:rPr>
          <w:b/>
        </w:rPr>
        <w:t>E. 6.3</w:t>
      </w:r>
    </w:p>
    <w:p>
      <w:r>
        <w:t>Il ressort de la comparaison des revenus de valide (CHF 60'047.45) et d'invalide (CHF 67'996.85) qu'il n'y a aucune perte de gain. Si l'on devait se référer aux limitations fonctionnelles plus importantes retenues par le Dr F.________, le revenu d'invalide demeurerait vraisemblablement basé sur le salaire médian du secteur privé selon les chiffres de l'ESS 2016. Tout au plus, ces limitations fonctionnelles seraient éventuellement prises en compte par le biais d'une réduction supplémentaire du revenu statistique, laquelle ne dépasserait pas 5% au vu des autres circonstances du présent cas. Or, même dans cette hypothèse, la perte de gain demeurerait nulle.</w:t>
      </w:r>
    </w:p>
    <w:p>
      <w:r>
        <w:rPr>
          <w:b/>
        </w:rPr>
        <w:t>E. 7</w:t>
      </w:r>
    </w:p>
    <w:p>
      <w:r>
        <w:t>Dispositions relatives à la réadaptation</w:t>
      </w:r>
    </w:p>
    <w:p>
      <w:r>
        <w:rPr>
          <w:b/>
        </w:rPr>
        <w:t>E. 7.1</w:t>
      </w:r>
    </w:p>
    <w:p>
      <w:r>
        <w:t>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matière de réadaptation, on distingue notamment la formation professionnelle initiale (art. 16 LAI) des mesures de reclassement (art. 17 LAI).</w:t>
      </w:r>
    </w:p>
    <w:p>
      <w:r>
        <w:rPr>
          <w:b/>
        </w:rPr>
        <w:t>E. 7.2</w:t>
      </w:r>
    </w:p>
    <w:p>
      <w:r>
        <w:t>L’art. 17 al. 1 LAI énonce qu’un 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citées).</w:t>
      </w:r>
    </w:p>
    <w:p>
      <w:r>
        <w:t>Tribunal cantonal TC Page 9 de 11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130 V 488 consid. 4.2 et les références citées). Ce taux de 20% ne constitue cependant pas une limite absolue, mais un ordre de grandeur. Selon les circonstances, une invalidité légèrement inférieure pourra déjà ouvrir droit à une mesure de reclassement (VALTERIO, in: Commentaire LAI, 2018, Art. 17 n 10 et les références citées). Par ailleurs,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(arrêt TF 9C_262/2016 du 30 août 2016 consid. 5.2).</w:t>
      </w:r>
    </w:p>
    <w:p>
      <w:r>
        <w:rPr>
          <w:b/>
        </w:rPr>
        <w:t>E. 7.3</w:t>
      </w:r>
    </w:p>
    <w:p>
      <w:r>
        <w:t>Aux termes de l’art. 22 al. 1 LAI,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de 50% au moins. Le droit aux indemnités journalières suppose – également en cas d’incapacité de travail d’au moins 50% - que les mesures de réadaptation soient appliquées pendant au moins trois jours consécutifs (ATF 112 V 16 consid. 2c). L’indemnité journalière de l’assurance-invalidité est une prestation accessoire à certaines mesures de réadaptation; elle ne peut être versée que si et tant que des mesures de réadaptation sont exécutées (ATF 116 V 16 consid. 2a). Cette règle n’a cependant pas une portée absolue (cf. art. 22 al. 6 LAI et 18 du règlement du 17 janvier 1961 sur l'assurance-invalidité; RAI; RS 831.201).</w:t>
      </w:r>
    </w:p>
    <w:p>
      <w:r>
        <w:rPr>
          <w:b/>
        </w:rPr>
        <w:t>E. 8</w:t>
      </w:r>
    </w:p>
    <w:p>
      <w:r>
        <w:t>Discussion quant à la réadaptation En l'occurrence, l'OAI a estimé que l'assuré ne pouvait pas prétendre à un reclassement car celui- ci ne correspondait pas au principe d'équivalence entre les formations.</w:t>
      </w:r>
    </w:p>
    <w:p>
      <w:r>
        <w:rPr>
          <w:b/>
        </w:rPr>
        <w:t>E. 8.1</w:t>
      </w:r>
    </w:p>
    <w:p>
      <w:r>
        <w:t>L'office affirme que, en exerçant une autre activité non qualifiée, adaptée à ses limitations, l'assuré serait en mesure de sauvegarder ses revenus. Il estime en outre que la prise en charge d’une formation ouvrirait à l'assuré des perspectives de gain supérieures à ce qu'il aurait obtenu sans invalidité.</w:t>
      </w:r>
    </w:p>
    <w:p>
      <w:r>
        <w:t>Tribunal cantonal TC Page 10 de 11 Selon l'assuré toutefois, ce principe ne saurait s'appliquer tel quel à son cas car il était en début de carrière professionnelle. Il affirme ainsi qu'il "avait pour objectif de faire reconnaitre ses acquis dans la profession de laborantin" selon la procédure de qualification standard figurant à l'art. 32 de l'ordonnance du 19 novembre 2003 sur la formation professionnelle (OFPr; RS 412.101). Il appuie cette affirmation sur un courriel de son ancien employeur, lequel indique ce qui suit: "[l'assuré] nous a fait part de sa volonté de vouloir obtenir son CFC après 5 années de pratique dans notre laboratoire, sans pour autant qu’aucun document, demande écrite, ni présentation d’un projet concret ne soient établis" (dossier OAI, p. 38). L'on précise que l'assuré avait commencé auprès de cet employeur en octobre 2014 à temps partiel, vraisemblablement à un taux inférieur à 50% (dossier OAI, p. 17), puis avait été engagé en tant que laborantin à plein temps en juin 2015 (dossier OAI, p. 67). Par la production du courriel de son employeur, l'assuré a rendu vraisemblable qu'il avait la volonté de suivre une procédure de qualification par la validation de ses acquis. L'on ne saurait en effet exciper de l'absence de démarches officielles un quelconque moyen de contredire cette affirmation, puisque dites démarches n'auraient été commencées qu'à proximité de l'échéance de cinq années de travail et non en 2016 déjà.</w:t>
      </w:r>
    </w:p>
    <w:p>
      <w:r>
        <w:rPr>
          <w:b/>
        </w:rPr>
        <w:t>E. 8.2</w:t>
      </w:r>
    </w:p>
    <w:p>
      <w:r>
        <w:t>Cependant, il convient de rappeler que, selon la jurisprudence – applicable en matière de détermination du revenu de valide mais qui ne saurait être ignorée ici –, des possibilités théoriques de développement professionnel ou d'avancement ne doivent être prises en considération que lorsqu'il est très vraisemblable qu'elles seraient advenues (arrêt TF 9C_29/2012 du 27 juin 2012 consid. 4.1 et les références citées). Dans ce contexte, la seule volonté de suivre une procédure de validation des acquis – quand bien même celle-ci serait possible – ne rend pas vraisemblables les perspectives d'évolution professionnelles alléguées au degré requis par la jurisprudence en la matière. Au demeurant, même si le recourant avait effectivement entrepris des démarches dans ce sens, il lui aurait encore été nécessaire de réaliser l'examen de fin d'apprentissage. Or, de l'aveu de son coach, l'assuré "a un parcours scolaire plutôt difficile, avec beaucoup de petits et grands échecs" (dossier OAI, p. 81). De même, il ressort de son parcours professionnel qu'il a terminé l'Ecole cantonale de gestion en 5 ans (au lieu de 3 ans) et a déjà échoué à deux reprises aux examens de laborantin (dossier OAI, p. 60 et 96). Le parcours professionnel déclaré ne constitue rien de plus qu'une simple possibilité. On ne saurait dès lors en déduire l'existence d'indices concrets que le recourant aurait très vraisemblablement occupé une position de laborantin en chimie avec CFC.</w:t>
      </w:r>
    </w:p>
    <w:p>
      <w:r>
        <w:rPr>
          <w:b/>
        </w:rPr>
        <w:t>E. 8.3</w:t>
      </w:r>
    </w:p>
    <w:p>
      <w:r>
        <w:t>Dans ce contexte, l'on ne doit pas ignorer que le degré d'invalidité reconnu à l'assuré est nul et donc bien inférieur au seuil minimum de 20% fixé par la jurisprudence, ce qui n'est au demeurant pas contesté. Le reclassement requis n'est par ailleurs pas conforme au principe d'équivalence entre les formations. Partant, c'est à juste titre que l'OAI a refusé d'octroyer des mesures de réadaptation au recourant.</w:t>
      </w:r>
    </w:p>
    <w:p>
      <w:r>
        <w:t>Tribunal cantonal TC Page 11 de 11</w:t>
      </w:r>
    </w:p>
    <w:p>
      <w:r>
        <w:rPr>
          <w:b/>
        </w:rPr>
        <w:t>E. 9</w:t>
      </w:r>
    </w:p>
    <w:p>
      <w:r>
        <w:t>Sort du recours Il ressort de l'ensemble de ce qui précède que le recours, mal fondé, doit être rejeté et la décision du 6 avril 2020 confirmée. Les frais de justice sont fixés à CHF 800.- et mis à la charge du recourant qui succombe. Ils sont compensés avec l'avance de frais du même montant. Il n'est pas octroyé d'indemnité de partie. la Cour arrête : I. Le recours est rejeté. II. Les frais de justice, fixés à CHF 800.-, sont mis à la charge du recourant; ils sont compensés avec l'avance de CHF 800.- effectuée.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mars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