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 vom 4. März 2021</w:t>
      </w:r>
    </w:p>
    <w:p>
      <w:r>
        <w:t>FR Kantonsgericht, 2021-03-04, FR</w:t>
      </w:r>
    </w:p>
    <w:p>
      <w:r>
        <w:rPr>
          <w:b/>
        </w:rPr>
        <w:t xml:space="preserve">Quelle: </w:t>
      </w:r>
      <w:r>
        <w:t>https://mcp.opencaselaw.ch/entscheid/fr_gerichte_605_2020_7</w:t>
      </w:r>
    </w:p>
    <w:p>
      <w:r>
        <w:t>FR: FR_GERICHTE 605 2020 7 du 4 mars 2021</w:t>
      </w:r>
    </w:p>
    <w:p>
      <w:r>
        <w:t>IT: FR_GERICHTE 605 2020 7 del 4 marzo 2021</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à raison du lieu ainsi que de la matière, le recours est recevable à la forme. En outre, la recourante, dûment représentée, est directement atteinte par la décision querellée et possède dès lors un intérêt digne de protection à ce qu'elle soit, cas échéant, annulée ou modifiée. Partant, il y a lieu d'entrer en matière sur les mérites du recours.</w:t>
      </w:r>
    </w:p>
    <w:p>
      <w:r>
        <w:rPr>
          <w:b/>
        </w:rPr>
        <w:t>E. 2</w:t>
      </w:r>
    </w:p>
    <w:p>
      <w:r>
        <w:t>Dispositions relatives au droit d'être entendu</w:t>
      </w:r>
    </w:p>
    <w:p>
      <w:r>
        <w:rPr>
          <w:b/>
        </w:rPr>
        <w:t>E. 2.1</w:t>
      </w:r>
    </w:p>
    <w:p>
      <w:r>
        <w:t>Le droit d'être entendu est une garantie constitutionnelle de caractère formel (art. 29 al. 2 Cst.), dont la violation doit entraîner l'annulation de la décision attaquée, indépendamment des chances de succès du recourant sur le fond. La jurisprudence a notamment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impose en outre à l'autorité de motiver clairement sa décision (ATF 134 I 83 consid. 4.1; 133 III 439 consid. 3.3; arrêt du TF 4A_408/2010 du 7 octobre 2010 consid. 2.1; arrêt du TAF A-5228/2016 du 25 avril 2017 consid. 3.2.1).</w:t>
      </w:r>
    </w:p>
    <w:p>
      <w:r>
        <w:rPr>
          <w:b/>
        </w:rPr>
        <w:t>E. 2.2</w:t>
      </w:r>
    </w:p>
    <w:p>
      <w:r>
        <w:t>La jurisprudence a déduit du droit d'être entendu, en particulier, le droit pour le justiciable de s'expliquer avant qu'une décision ne soit prise à son détriment et celui de fournir des preuves quant aux faits de nature à influer sur le sort de la décision (ATF 140 I 285 consid. 6.3.1, 135 I 279 consid. 2.3; 135 II 286 consid. 5.1; 132 V 368 consid. 3.1).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272 consid. 5b/bb et les références citées). Pour sa part, le droit de consulter le dossier s'étend à toutes les pièces décisives figurant au dossier et garantit que les parties puissent prendre connaissance des éléments fondant la décision et s'exprimer à leur sujet (ATF 132 II 485 consid. 3.2; 129 I 85 consid. 4.1; 125 II 473 consid. 4c/cc; 121 I 225 consid. 2a). La garantie constitutionnelle de l'accès au dossier comprend le droit de consulter des pièces au siège de l'autorité, de prendre des notes et de faire des photocopies, pour autant qu'il</w:t>
      </w:r>
    </w:p>
    <w:p>
      <w:r>
        <w:t>Tribunal cantonal TC Page 4 de 17 n'en résulte pas un surcroît de travail excessif pour l'autorité (ATF 126 I 7 consid. 2b; 122 I 112 consid. 2b et les arrêts cités; cf. ATF 115 V 302 consid. 2e). Lorsqu'elle verse au dossier de nouvelles pièces dont elle entend se prévaloir dans son jugement, l'autorité est tenue d'en aviser les parties. Encore qu'elle ne soit pas obligée de les renseigner sur chaque production de pièces, car il suffit qu'elle tienne le dossier à leur disposition (arrêt TF I 250/02 du 25 octobre 2002 consid. 3.3).</w:t>
      </w:r>
    </w:p>
    <w:p>
      <w:r>
        <w:rPr>
          <w:b/>
        </w:rPr>
        <w:t>E. 2.3</w:t>
      </w:r>
    </w:p>
    <w:p>
      <w:r>
        <w:t>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3</w:t>
      </w:r>
    </w:p>
    <w:p>
      <w:r>
        <w:t>Discussion relative au droit d'être entendu La recourante se plaint de ne pas avoir été informée, tant de l'existence que du contenu, du complément d'expertise de F.________ daté du 29 novembre 2019.</w:t>
      </w:r>
    </w:p>
    <w:p>
      <w:r>
        <w:rPr>
          <w:b/>
        </w:rPr>
        <w:t>E. 3.1</w:t>
      </w:r>
    </w:p>
    <w:p>
      <w:r>
        <w:t>Il n'est, dans ce contexte de violation du droit d'être entendu, pas inutile de rappeler le déroulement des événements mis en cause. Dans son projet de décision du 24 juillet 2019, l'OAI a informé l'assurée qu'elle prévoyait de lui nier le droit à des prestations, se fondant sur un degré d'invalidité de 33% (dossier OAI, p. 321). Le 15 octobre 2019, l'assurée, alors déjà représentée par Me Jean-Michel Duc, avocat, avait déposé des objections à l'encontre de cette décision, faisant une critique vigoureuse du rapport d'expertise. Elle affirmait par exemple que les experts avaient "minimisé l'importance des limitations fonctionnelles sans donner d'explication", que "malgré le très grand nombre de pages, à l'examen, l'expertise apparai[ssait] lacunaire" et que le Tribunal fédéral avait déjà jugé une expertise de F.________ non déterminante dans un cas de maladie inflammatoire. Elle avait en outre produit un rapport de sa rhumatologue traitante, laquelle se positionnait sur les conclusions des deux experts. Bien que représentée par un mandataire professionnel, elle concluait sur un ton polémique en qualifiant les experts d'incompétents et de "pseudo-experts" (dossier OAI, p. 359). Malgré le caractère manifestement inconvenant de cet écrit (art. 43 du code fribourgeois du 23 mai 1991 de procédure et de juridiction administrative, CPJA; RSF 150.1), l'OAI n'a pas invité la recourante à le refaire. En revanche, par courrier du 21 novembre 2019, il a invité F.________ à se positionner sur "le fond médical" des objections déposées par la recourante (dossier OAI, p. 373). Le 29 novembre 2019, F.________ a livré son complément d'expertise, se positionnant sur les différents points relevés par la recourante dans son mémoire d'objections (dossier OAI, p. 374). La décision confirmant le projet de décision a ensuite été rendue.</w:t>
      </w:r>
    </w:p>
    <w:p>
      <w:r>
        <w:t>Tribunal cantonal TC Page 5 de 17</w:t>
      </w:r>
    </w:p>
    <w:p>
      <w:r>
        <w:rPr>
          <w:b/>
        </w:rPr>
        <w:t>E. 3.2</w:t>
      </w:r>
    </w:p>
    <w:p>
      <w:r>
        <w:t>Force est de constater que cette complexité de faits ne peut pas être considérée comme violant le droit d'être entendu de l'assurée. En effet, sous l'angle de l'accès au dossier, l'on constate que l'OAI a laissé son dossier à disposition de la recourante. En particulier, tant l'association G.________ que son mandataire actuel y ont eu accès à première requête, la première le 27 août 2019 et le second le 9 septembre 2019 (dossier OAI, p. 331 et 340). En outre, sous l'angle du droit à participer à l'administration des preuves, l'on constate que la recourante a eu l'occasion de se prononcer en détail sur les conclusions des médecins de F.________ dans le cadre de la procédure de préavis. Après s'être fait remettre copie de son dossier, elle s'est par ailleurs vu accorder trois prolongations de délais pour se déterminer (dossier OAI, p. 338, 353 et 358). Ce n'est qu'en raison de ses objections du 15 octobre 2019 qu'un complément a été demandé au centre d'expertise, lequel s'est contenté d'expliquer en quoi les affirmations de la recourante ne leur semblaient pas convaincantes. En d'autres termes, non seulement l'assurée a de facto pu se prononcer sur les conclusions des deux experts, mais, en sus, ses objections ont été "entendues" par l'autorité intimée puisqu'elle a invité les experts à se prononcer sur celles-ci. Il convient dès lors de rejeter ce grief.</w:t>
      </w:r>
    </w:p>
    <w:p>
      <w:r>
        <w:rPr>
          <w:b/>
        </w:rPr>
        <w:t>E. 3.3</w:t>
      </w:r>
    </w:p>
    <w:p>
      <w:r>
        <w:t>Quoi qu'il en soit, même si l'on devait considérer qu'il y a eu violation du droit d'être entendu – ce qui n’est pas le cas en l’espèce - celle-ci ne saurait conduire à l'annulation de la décision contestée. En effet, l'éventuelle violation du droit d'être entendu ne saurait être qualifiée de grave. En outre, l'assurée a eu toute latitude pour s'exprimer devant la Cour de céans, laquelle possède un plein pouvoir d'examen. L'on constate, à cet égard, que les critiques à l'égard du complément du 29 novembre 2019 se confondent avec celles relatives à l'expertise du 18 février 2019. Partant, la violation alléguée du droit d'être entendue serait de toute manière guérie dans le cadre de la présente procédure. Partant, le grief de violation du droit d'être entendu ne saurait conduire à l'annulation de la décision litigieuse.</w:t>
      </w:r>
    </w:p>
    <w:p>
      <w:r>
        <w:rPr>
          <w:b/>
        </w:rPr>
        <w:t>E. 4</w:t>
      </w:r>
    </w:p>
    <w:p>
      <w:r>
        <w:t>Dispositions relatives à la notion d'invalidité</w:t>
      </w:r>
    </w:p>
    <w:p>
      <w:r>
        <w:rPr>
          <w:b/>
        </w:rPr>
        <w:t>E. 4.1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t>Tribunal cantonal TC Page 6 de 17</w:t>
      </w:r>
    </w:p>
    <w:p>
      <w:r>
        <w:rPr>
          <w:b/>
        </w:rPr>
        <w:t>E. 4.2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5</w:t>
      </w:r>
    </w:p>
    <w:p>
      <w:r>
        <w:t>Dispositions relatives à l'appréciation des preuves</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w:t>
      </w:r>
    </w:p>
    <w:p>
      <w:r>
        <w:t>Tribunal cantonal TC Page 7 de 17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5.2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5.3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8 de 17</w:t>
      </w:r>
    </w:p>
    <w:p>
      <w:r>
        <w:rPr>
          <w:b/>
        </w:rPr>
        <w:t>E. 6</w:t>
      </w:r>
    </w:p>
    <w:p>
      <w:r>
        <w:t>Discussion quant à l'expertise bidisciplinaire En l'espèce, tant sur le plan somatique que sur le plan psychique, la décision de l'OAI se fonde sur les conclusions des experts de F.________, à savoir le Dr D.________ et la Dre E.________. A ce stade, la Cour rappelle d'emblée que le moment où a été rendue la décision litigieuse délimite, en règle générale, l'état de fait déterminant permettant d'examiner la légalité de l'acte attaqué. Ainsi, le juge n'a pas à prendre en considération les modifications de l'état de fait postérieures à cette date (ATF 132 V 215 consid. 3.1.1; 129 V 1 consid. 1.2). Dans ce contexte, il apparaît que les documents produits par la recourante dans ces différentes interventions spontanées – sous réserve de ceux traitant de la situation antérieure à la décision ici contestée – n'ont pas à être prises en compte.</w:t>
      </w:r>
    </w:p>
    <w:p>
      <w:r>
        <w:rPr>
          <w:b/>
        </w:rPr>
        <w:t>E. 6.1</w:t>
      </w:r>
    </w:p>
    <w:p>
      <w:r>
        <w:t>Dans leur rapport du 18 février 2019 (dossier OAI, p. 240), les deux médecins retiennent les diagnostics invalidants de spondylite ankylosante (M45), de syndrome douloureux chronique (M79.7), de syndrome du canal carpien bilatéral à prédominance droite (G56.0), d'épisode dépressif moyen, sans syndrome somatique (F32.10) et de troubles mixtes de personnalité, dépendante et émotionnellement labile, type borderline (F61.0). Ils estiment que les atteintes somatiques limitent totalement l'assurée dans l'exercice de son ancienne activité, mais ne l'empêchent pas de travailler à 70% dans une activité adaptée, à savoir sans port fréquent de charges supérieures à 5 kg, sans sollicitation répétitive des ceintures scapulaires ni des articulations des poignets et des doigts, sans surcharge mécanique du rachis ni des articulations portantes, ni la station debout, assise ou accroupie prolongée. Au plan psychique, l'assurée demeure en mesure de travailler à 70% tant dans l'ancienne activité que dans une autre activité, pour autant que celle-ci n'ait que peu de responsabilités et ne nécessitant que peu de capacité adaptative et d'apprentissage. Ces limitations – qui ne s'additionnent pas – sont, selon eux, à retenir depuis septembre 2014.</w:t>
      </w:r>
    </w:p>
    <w:p>
      <w:r>
        <w:rPr>
          <w:b/>
        </w:rPr>
        <w:t>E. 6.2</w:t>
      </w:r>
    </w:p>
    <w:p>
      <w:r>
        <w:t>Les conclusions des experts se fondent d'abord sur l'étude du dossier mis à disposition par l'OAI ainsi que sur les entretiens du 7 mars 2019. A l'occasion de ces entretiens, les deux experts ont pu procéder à un examen médical complet, portant tant sur le plan somatique (2.45 heures) que psychiatrique (2 heures). Par le biais des déclarations spontanées de l'expertisée ou des questions plus orientées, ils ont été en mesure de compléter l'anamnèse. En outre, se fondant également sur les pièces du dossier, ils ont eu une pleine connaissance de l'historique tant médical que social, économique et familial de l'assurée. Pour sa part, cette dernière a pu décrire ses atteintes ainsi que l'impact de celles-ci sur son quotidien, par exemple ses difficultés à faire sa toilette et à s'habiller. Ces plaintes ont été dûment relevées par les experts, lesquels les ont incorporées à leur raisonnement. Par ailleurs, l'on constate que les experts motivent suffisamment leurs conclusions, que cela soit sur le plan somatique ou psychique. L'on relève notamment que l'évaluation de la capacité de travail sur ce second plan se fait selon les conditions mentionnées par la jurisprudence ainsi que sur la base de diagnostics établis selon des critères reconnus. Ce raisonnement et ces conclusions ne sont pas modifiées ou étayées différemment dans le rapport complémentaire du 29 novembre 2019, lequel se limite à répondre aux objections de l'assurée du 15 novembre 2019 (dossier OAI, p. 359 et 374).</w:t>
      </w:r>
    </w:p>
    <w:p>
      <w:r>
        <w:t>Tribunal cantonal TC Page 9 de 17</w:t>
      </w:r>
    </w:p>
    <w:p>
      <w:r>
        <w:rPr>
          <w:b/>
        </w:rPr>
        <w:t>E. 6.3</w:t>
      </w:r>
    </w:p>
    <w:p>
      <w:r>
        <w:t>Sur le plan formel, la Cour prend note des reproches de la recourante à l'encontre des investigations faites par les experts. Cependant, à lire les documents figurant dans le dossier de l'autorité intimée, l'on constate que les différents rapports des intervenants – en particulier de la rhumatologue et de la psychologue traitantes – étaient suffisamment explicites pour que les deux experts s'abstiennent d'une prise de contact directe avec elles : des clarifications n'étaient manifestement pas nécessaires (cf. expertise, pt. 2.1 et 2.3; cf. ég. dossier OAI, p. 17, 95, 119, 137, 168, 188 et 214). Les experts ont également pris en compte des rapports médicaux d'imagerie médicale (cf. expertise, pt. 2.3 et 5.2.4.), n'estimant pas nécessaire de procéder à de nouveaux examens à l'exception d'un taux sérique. A cet égard, il apparaît qu'on ne peut pas reprocher à l'expertise son caractère ponctuel, le dossier médical mis à disposition des experts permettant à ceux-ci d'avoir une représentation complète de l'évolution de la situation médicale. La rhumatologue traitante semble par ailleurs l'admettre, indiquant "avoir fourni tous les documents nécessaires [à l'expert en rhumatologie] pour qu'il puisse avoir une vue d'ensemble de tous les examens effectués chez cette patiente" (bordereau du 19 mars 2020, pièce 2).</w:t>
      </w:r>
    </w:p>
    <w:p>
      <w:r>
        <w:rPr>
          <w:b/>
        </w:rPr>
        <w:t>E. 7</w:t>
      </w:r>
    </w:p>
    <w:p>
      <w:r>
        <w:t>Discussion quant aux autres avis rhumatologiques Sur le plan rhumatologique, la Dre H.________, spécialiste en rhumatologie, ne partage pas l'appréciation des experts de F.________.</w:t>
      </w:r>
    </w:p>
    <w:p>
      <w:r>
        <w:rPr>
          <w:b/>
        </w:rPr>
        <w:t>E. 7.1</w:t>
      </w:r>
    </w:p>
    <w:p>
      <w:r>
        <w:t>Dans ses différents rapports (rapports du 24 mars 2017 et du 4 septembre 2019; dossier OAI, p. 95, 341 et 367; cf. ég. p. 20, 137 et 188), la Dre H.________ diagnostique une "spondylarthrite ankylosante, voire arthrite psoriasique diagnostiqué en 2015", une obésité et un diabète de type II. En raison de ces atteintes, elle considère que sa patiente n'est plus en mesure de travailler dans une quelconque activité. Selon elle, même une occupation dans l'industrie légère est utopique vu que ce genre d'occupation nécessite des positions stationnaires, que ce soit debout ou assis, et prolongées, ce qui n'est pas possible pour la patiente, ainsi qu'une manutention fine qui va être difficilement effectuable en raison de l'atteinte périphérique inflammatoire dans le contexte de son rhumatisme. Elle considère dès lors que sa patiente n'est en mesure de travailler que 4 heures dans une activité adaptée, à savoir une activité permettant l'alternance des positions assis/debout, assurant des pauses, sans mouvements répétitifs, sans port de charge et sans position inclinée, accroupie. Par ailleurs, dans son rapport du 12 novembre 2019, produit dans le cadre de la procédure de préavis et entièrement reprise par la recourante dans ses objections, elle procède à une critique détaillée du rapport d'expertise. Elle y soutient notamment ce qui suit: "je ne suis pas du tout d'accord avec la conclusion des experts qu'il ne s'agisse pas d'une arthrite psoriasique parce qu'elle ne répond pas aux critères CASPAR. Les critères CASPAR sont des critères de classification et non de diagnostic permettant de choisir une population homogène au sein d'un groupe de patients où le diagnostic est déjà posé, utilisé uniquement dans des études cliniques et, si l'on utilise ces critères dans la pratique courante pour poser un diagnostic alors qu'il s'agit de critères de classification, on risque de passer à côté du diagnostic chez plus de la moitié des patients" (dossier OAI, p. 367).</w:t>
      </w:r>
    </w:p>
    <w:p>
      <w:r>
        <w:t>Tribunal cantonal TC Page 10 de 17 Il s'agit d'un élément central invoqué par la recourante pour mettre en cause les conclusions des deux experts.</w:t>
      </w:r>
    </w:p>
    <w:p>
      <w:r>
        <w:rPr>
          <w:b/>
        </w:rPr>
        <w:t>E. 7.2</w:t>
      </w:r>
    </w:p>
    <w:p>
      <w:r>
        <w:t>La Cour prend acte des affirmations de la Dre H.________ quant au fait que les experts n'ont pas retenu le diagnostic d'arthrite psoriasique. Force est, cela étant, de constater que les experts décrivent en détail les motifs les conduisant à écarter ce diagnostic, se référant aux critères de classification de CASPAR pour le rhumatisme psoriasique. Si la rhumatologue traitante affirme que ces critères ne seraient pas des critères diagnostics, cette affirmation n'est pas convaincante car contredite par la description même de ces critères : pour retenir le diagnostic de rhumatisme psoriasique, il faut qu'une atteinte rhumatologique inflammatoire soit constatée et qu'il y ait un score de 3 points sur les autres critères. De même, la Revue médicale suisse indique que ces critères "servent actuellement de référence pour le diagnostic dans la majorité des études cliniques" et ont justement été émis pour "englobe[r] les différentes formes de [rhumatisme psoriasique]" (BERNER/ZUFFEREY, Rhumatisme psoriasique, in: Rev Med Suisse 2015; volume 11 p. 139-142). Dans ce contexte, les griefs à l'égard de la prétendue argumentation partielle et lacunaire des experts apparaissent clairement infondés. Il ne s'agit que d'une controverse diagnostique, laquelle n'a pas nécessairement d'incidence sur la question de la capacité de travail. La Dre H.________ l'admet expressément dans un rapport du 14 janvier 2020, indiquant que "quel que soit le diagnostic retenu - arthrite psoriasique ou polyarthrite ankylosante - cela ne change finalement rien au handicap que cette maladie engendre et à l'incapacité de travail qui en découle" (rapport du 14 janvier 2020, bordereau du 10 février 2020, pièce 9; cf. ég. bordereau du 19 mars 2020, pièce 3). Or, à cet égard, les conclusions des experts mettent clairement en évidence que l'assurée est limitée, tant dans sa vie quotidienne que dans l'exercice d'une activité lucrative. A l'instar de la rhumatologue traitante, ils admettent qu'elle se retrouve avec une incapacité de travail à 100% dans son ancienne activité de vendeuse. De même, ils font état de limitations en lien avec le port de charges, la sollicitation répétitive des ceintures scapulaires et des articulations des poignets et des doigts, sans surcharge mécanique du rachis ni des articulations portantes, ni la station debout, assise ou accroupie prolongée. En revanche, ces limitations apparaissent perçues plus sévèrement par la médecin traitante que par les experts, par exemple avec un port de charge totalement nul selon la première alors que les second le limitent à 5 kg. Pourtant, la recourante est en mesure – bien qu'à son rythme et avec une aide de ses enfants – de prendre en charge un ménage de 5 personnes. Elle assure ainsi la préparation des repas, la vaisselle, le nettoyage du linge et son repassage, le nettoyage de l'appartement (aspirateur et panosse) et les commissions (cf. bordereau du 28 septembre 2020, pièce 2). Si l'on devait suivre les conclusions de la rhumatologue traitante, de telles tâches seraient impossibles à réaliser. De la sorte, l'on doit considérer que les conclusions de la rhumatologue traitante sont en contradiction avec le quotidien de sa patiente, de sorte qu'elles ne sauraient convaincre. Au demeurant, l'on peut rappeler que, conformément à la jurisprudence, il y a lieu d’attacher plus de poids à l’opinion motivée des experts qu’à l’appréciation de l’incapacité de travail par le médecin traitant (ATF 125 V 351 consid. 3b/cc et les références citées).</w:t>
      </w:r>
    </w:p>
    <w:p>
      <w:r>
        <w:t>Tribunal cantonal TC Page 11 de 17 A ce stade, l'on constate que le Dr I.________, médecin praticien, semble se rattacher à l'avis de la rhumatologue traitante, bien que ne détaillant que peu ses conclusions, de sorte qu'il n'apparaît pas nécessaire de les examiner de manière séparée (cf. dossier OAI, p. 27, 61 et 87 ainsi que bordereau du 19 mars 2020, pièce 6).</w:t>
      </w:r>
    </w:p>
    <w:p>
      <w:r>
        <w:rPr>
          <w:b/>
        </w:rPr>
        <w:t>E. 7.3</w:t>
      </w:r>
    </w:p>
    <w:p>
      <w:r>
        <w:t>Au vu de l'ensemble de ce qui précède, la Cour peut suivre les conclusions plus convaincantes et mieux motivées des experts.</w:t>
      </w:r>
    </w:p>
    <w:p>
      <w:r>
        <w:rPr>
          <w:b/>
        </w:rPr>
        <w:t>E. 8</w:t>
      </w:r>
    </w:p>
    <w:p>
      <w:r>
        <w:t>Discussion quant aux autres avis psychiatriques Sur le plan psychiatrique, la recourante est suivie par J.________, psychologue, et par la Dre K.________, spécialiste en psychiatrie et psychothérapie. Dans leurs différents rapports (rapport du 8 février 2019, dossier OAI, p. ; cf. ég. p. 119 et 168), toutes deux émettent les diagnostics de trouble dépressif récurrent, épisode actuel moyen (F33.1) et de trouble de la personnalité émotionnellement labile, type borderline (F60.31). Selon elles, ces atteintes se concrétisent par un ralentissement psychomoteur, de la fatigue, des troubles de la mémoire et de la concentration, une tendance à se mettre la pression. Sur cette base, elles estiment que leur patiente est limitée dans des activités exigeant de l'endurance, de la précision, du stress, de la rapidité et impliquant des tâches complexes. Si l'ancienne activité de vendeuse n'est pas conforme à ces limitations, elles affirment qu'une activité adaptée demeure possible à taux réduit. Elles ne quantifient pas ce taux. Tant s'agissant des questions diagnostiques que celles relatives à la capacité de travail, les conclusions de J.________ et de la Dre K.________ sont proches de celles des experts. Il convient dès lors de s'y rattacher.</w:t>
      </w:r>
    </w:p>
    <w:p>
      <w:r>
        <w:rPr>
          <w:b/>
        </w:rPr>
        <w:t>E. 9</w:t>
      </w:r>
    </w:p>
    <w:p>
      <w:r>
        <w:t>Détermination de la capacité de travail résiduelle Il ressort de l'ensemble de ce qui précède que les atteintes à sa santé empêchent l'assurée de travailler dans son ancienne activité de vendeuse. En revanche, elle demeure en mesure de travailler à 70% dans une activité adaptée. Une telle activité doit éviter le port fréquent de charges supérieures à 5 kg, la sollicitation répétitive des ceintures scapulaires ni des articulations des poignets et des doigts, la surcharge mécanique du rachis et des articulations portantes, la station debout, assise ou accroupie prolongée. Cette activité doit avoir par ailleurs peu de responsabilités et ne nécessiter que peu de capacité adaptative et d'apprentissage.</w:t>
      </w:r>
    </w:p>
    <w:p>
      <w:r>
        <w:rPr>
          <w:b/>
        </w:rPr>
        <w:t>E. 10</w:t>
      </w:r>
    </w:p>
    <w:p>
      <w:r>
        <w:t>Dispositions relatives au degré d'invalidité</w:t>
      </w:r>
    </w:p>
    <w:p>
      <w:r>
        <w:rPr>
          <w:b/>
        </w:rPr>
        <w:t>E. 10.1</w:t>
      </w:r>
    </w:p>
    <w:p>
      <w:r>
        <w:t>La loi consacre trois régimes distincts d'évaluation de l'invalidité, qui, pour une même atteinte à la santé, peuvent aboutir à des conséquences assécurologiques sensiblement différentes (arrêt TF 9C_790/2010 du 8 juillet 2011 consid. 5.5.1).</w:t>
      </w:r>
    </w:p>
    <w:p>
      <w:r>
        <w:t>Tribunal cantonal TC Page 12 de 17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10.2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rPr>
          <w:b/>
        </w:rPr>
        <w:t>E. 10.3</w:t>
      </w:r>
    </w:p>
    <w:p>
      <w:r>
        <w:t>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w:t>
      </w:r>
    </w:p>
    <w:p>
      <w:r>
        <w:t>Tribunal cantonal TC Page 13 de 17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w:t>
      </w:r>
    </w:p>
    <w:p>
      <w:r>
        <w:rPr>
          <w:b/>
        </w:rPr>
        <w:t>E. 11</w:t>
      </w:r>
    </w:p>
    <w:p>
      <w:r>
        <w:t>Calcul du degré d'invalidité</w:t>
      </w:r>
    </w:p>
    <w:p>
      <w:r>
        <w:rPr>
          <w:b/>
        </w:rPr>
        <w:t>E. 11.1</w:t>
      </w:r>
    </w:p>
    <w:p>
      <w:r>
        <w:t>Dans sa décision du 9 décembre 2019, l'OAI a fixé le revenu de valide en se fondant sur un montant de CHF 56'471.60. Selon lui, il s'agit du montant perçu par la recourante en 2014, indexé pour l'année 2016. Dans son mémoire spontané du 19 mars 2020, la recourante conteste ce montant, affirmant qu'il convient de prendre en compte un montant plus élevé. Selon elle, il manque les suppléments pour le travail de nuit ainsi que pour les dimanches et jours fériés, produisant une fiche salaire de CHF 5'213.- pour le mois de novembre 2014 ainsi qu'une copie de son contrat de travail. Elle se plaint également que ce montant ne tienne pas compte de ce qu'elle a "obtenu un poste hiérarchique de gérante adjointe, du 1er juin 2012 au 1er octobre [recte: décembre (cf. bordereau du 19 mars 2020, pièce 9)] 2014". Ces affirmations n'apparaissent néanmoins pas très convaincantes dans la mesure où l'assurée n'établit pas que le montant qu'elle a obtenu au moins de novembre 2014 (CHF 5'213.-) correspond à un salaire mensuel fixe, qui pourrait être repris tel quel sur l'ensemble de l'année (cf. bordereau du 19 mars 2020, pièces 7 et 8). Au contraire, avant cette intervention, l'assurée soutenait obtenir des montants mensuels bien inférieurs, déclarant un montant de CHF 3'600.- par mois (pour une activité à 80%) dans sa demande de prestations et dans le questionnaire à l'intention des personnes s'occupant du ménage (dossier OAI, p. 1 et 30). Le montant pris en compte par l'OAI correspond au montant déclaré par l'assurée pour l'année 2014 – année précédant l'atteinte à la santé – selon l'extrait de son compte individuel AVS. Il s'agit dès lors du montant sur lequel elle a cotisé à l'AVS/AI et inclut tant l'augmentation liée au poste d'adjointe que les autres suppléments de salaire allégués (cf. art. 5 de la loi du 20 décembre 1946 sur l'assurance-vieillesse et survivants, LAVS; RS 831.10). Il tient par ailleurs compte d'une activité à temps plein, puisque l'assurée n'a réduit son taux qu'à partir de 2015. Partant, le revenu de valide de CHF 56'471.60 peut être confirmé.</w:t>
      </w:r>
    </w:p>
    <w:p>
      <w:r>
        <w:rPr>
          <w:b/>
        </w:rPr>
        <w:t>E. 11.2</w:t>
      </w:r>
    </w:p>
    <w:p>
      <w:r>
        <w:t>Quant au revenu d'invalide, en l'absence d'un revenu effectivement réalisé, il convient de se référer au montant mensuel de CHF 4'363.-, soit CHF 52'356.- annuellement, correspondant au</w:t>
      </w:r>
    </w:p>
    <w:p>
      <w:r>
        <w:t>Tribunal cantonal TC Page 14 de 17 salaire médian du secteur privé selon les chiffres de l'Enquête suisse sur la structure des salaires 2016 (ESS 2016, TA1_Skill level, totaux, niveau de compétences 1, femmes). Dès lors que le TA1, niveau de compétence 1, de l'ESS comprend un large éventail d'activités, on peut, en effet, admettre qu'un nombre significatif d'entre elles est adapté aux limitations et aux aptitudes de la recourante sur le marché du travail équilibré (cf. arrêts TF 9C_830/2017 du 16 mars 2018 consid. 5; 8C_381/2017 du 7 août 2017 consid. 4.2.2; 9C_833/2017 du 20 avril 2018 consid. 5.1). La référence au niveau de compétence 1 permet, pour sa part, de tenir compte du fait que la recourante ne possède aucune autre formation ou expérience dans ces domaines, absence influençant manifestement le revenu auquel elle pourrait prétendre et justifiant de se référer au grand groupe 9 de la classification internationale du type des professions (CITP; professions élémentaires). Ce montant doit être adapté à l'évolution des salaires nominaux (soit CHF 52'356.-, indices de 2709 pour 2016 et 2709 pour 2016, cf. OFS, T39 Evolution des salaires nominaux, des prix à la consommation et des salaires réels, femmes) et prendre en compte la durée usuelle du travail de 41.7 heures par semaine en 2016 (CHF 54'581.15, cf. OFS, Durée normale du travail dans les entreprises selon la division économique, Tous les secteurs). Au vu de la capacité de travail de 70% qui a été retenue, le revenu d'invalide est fixé à CHF 38'206.80.</w:t>
      </w:r>
    </w:p>
    <w:p>
      <w:r>
        <w:rPr>
          <w:b/>
        </w:rPr>
        <w:t>E. 11.3</w:t>
      </w:r>
    </w:p>
    <w:p>
      <w:r>
        <w:t>Il ressort de la comparaison des revenus de valide (CHF 56'471.60) et d'invalide (CHF 38'206.80) que la perte de gain se monte à CHF 18'264.80. Cela correspond à un degré d'invalidité de 32.34%, soit 32% (cf. ATF 130 V 121). Une perte de gain inférieure à 40% ne donne pas droit à une rente de l'assurance-invalidité.</w:t>
      </w:r>
    </w:p>
    <w:p>
      <w:r>
        <w:rPr>
          <w:b/>
        </w:rPr>
        <w:t>E. 12</w:t>
      </w:r>
    </w:p>
    <w:p>
      <w:r>
        <w:t>Sort du recours Il découle de tout ce qui précède que, la décision de l'OAI échappant à la critique, le recours (605 2019 298), mal fondé, doit être rejeté et la décision contestée confirmée. Les frais de justice, par CHF 800.-, sont mis à la charge de la recourante, sous réserve des considérants sur l'assistance judiciaire qui suivent.</w:t>
      </w:r>
    </w:p>
    <w:p>
      <w:r>
        <w:rPr>
          <w:b/>
        </w:rPr>
        <w:t>E. 13</w:t>
      </w:r>
    </w:p>
    <w:p>
      <w:r>
        <w:t>Dispositions relatives à l'assistance judiciaire gratuite</w:t>
      </w:r>
    </w:p>
    <w:p>
      <w:r>
        <w:rPr>
          <w:b/>
        </w:rPr>
        <w:t>E. 13.1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w:t>
      </w:r>
    </w:p>
    <w:p>
      <w:r>
        <w:t>Tribunal cantonal TC Page 15 de 17 10 mai 2010 consid. 4.1.2). Dans le domaine des assurances sociales, le droit à l'assistance judiciaire en procédure cantonale est expressément inscrit à l'art. 61 let. f LPGA.</w:t>
      </w:r>
    </w:p>
    <w:p>
      <w:r>
        <w:rPr>
          <w:b/>
        </w:rPr>
        <w:t>E. 13.2</w:t>
      </w:r>
    </w:p>
    <w:p>
      <w:r>
        <w:t>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13.3</w:t>
      </w:r>
    </w:p>
    <w:p>
      <w:r>
        <w:t>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13.4</w:t>
      </w:r>
    </w:p>
    <w:p>
      <w:r>
        <w:t>Selon la jurisprudence, l'examen de la requête d'assistance judiciaire en même temps que la décision finale, respectivement dans le cadre de la réglementation des coûts, ne peut pas être contestée lorsque le dépôt de la dite requête d'assistance judiciaire correspond au dépôt de l'action principale et lorsqu'aucune autre démarche du représentant n'est nécessaire. Tel n'est, par contre, pas le cas lorsque le mandataire est tenu, après le dépôt de la requête, de procéder à d'autres opérations. Dans de tels cas, il est essentiel que les autorités statuent immédiatement sur la requête d'assistance judiciaire afin que l'assuré et son représentant puissent clarifier le risque financier de procédure avant d'entreprendre d'autres actes de procédure pouvant entraîner des coûts importants. Ces principes s'appliquent également mutatis mutandis si la juridiction inférieure n'examine pas la requête d'assistance judiciaire en même temps que la décision finale, mais après avoir demandé à la personne assurée de faire d'autres démarches procédurales (cf. arrêt TF 9C_423/2017 du 10 juillet 2017 consid. 4.1).</w:t>
      </w:r>
    </w:p>
    <w:p>
      <w:r>
        <w:rPr>
          <w:b/>
        </w:rPr>
        <w:t>E. 14</w:t>
      </w:r>
    </w:p>
    <w:p>
      <w:r>
        <w:t>Discussion relative à l'assistance judiciaire gratuite</w:t>
      </w:r>
    </w:p>
    <w:p>
      <w:r>
        <w:rPr>
          <w:b/>
        </w:rPr>
        <w:t>E. 14.1</w:t>
      </w:r>
    </w:p>
    <w:p>
      <w:r>
        <w:t>S'agissant de la situation financière, au vu des documents produits, l'on doit retenir que la recourante ne dispose pas des ressources suffisantes pour supporter les frais de la procédure</w:t>
      </w:r>
    </w:p>
    <w:p>
      <w:r>
        <w:t>Tribunal cantonal TC Page 16 de 17 introduite sans s’exposer à la privation des choses nécessaires à son existence et à celle de sa famille.</w:t>
      </w:r>
    </w:p>
    <w:p>
      <w:r>
        <w:rPr>
          <w:b/>
        </w:rPr>
        <w:t>E. 14.2</w:t>
      </w:r>
    </w:p>
    <w:p>
      <w:r>
        <w:t>S'agissant ensuite des chances de succès, force est de constater que les arguments – bien que nombreux et variés – présentés par la recourante et par son mandataire n'apparaissaient pas d'un très grand poids. L'on relève ainsi que la prétendue violation du droit d'être entendu correspond surtout à une concrétisation de celui-ci. S'agissant des appréciations médicales, il apparaît que la seule lecture des critères – reconnus – permettait d'apprécier le bien-fondé des conclusions des experts. Enfin, s'agissant de la comparaison des revenus, les arguments présentés apparaissaient d'emblée sans fondement.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(605 2020 8) peut être admise et que Me Jean-Michel Duc, avocat, est désigné comme défenseur d'office.</w:t>
      </w:r>
    </w:p>
    <w:p>
      <w:r>
        <w:rPr>
          <w:b/>
        </w:rPr>
        <w:t>E. 14.3</w:t>
      </w:r>
    </w:p>
    <w:p>
      <w:r>
        <w:t>Le 9 octobre 2020, celui-ci a produit sa liste de frais, d'un montant total de CHF 3'868.82, à savoir CHF 3'555.- au titre d'honoraires (19.15 heures au tarif horaires de CHF 180.- et 0.15 heure au tarif horaire de CHF 300.-), CHF 37.10 au titre de frais et CHF 276.72 au titre de la TVA (7.7%). Toutefois, en l'occurrence, les plus de 19 heures de travail allégué par le mandataire ne sauraient se justifier par la nature, l'importance et la difficulté de la présente cause. On relèvera, en particulier, que l'avocat n'a pas été confronté à des questions de fait ou de droit inhabituelles ou exceptionnellement ardue et n'a pas non plus eu à étudier un dossier particulièrement volumineux. Dans ces circonstances, la Cour s'écarte des opérations qui y figurent et fixe l'indemnité d’office, selon sa libre appréciation (cf. art. 11 Tarif JA). Compte tenu de l'importance et de la difficulté de l'affaire, l'indemnité du défenseur désigné est fixée ex aequo et bono à un montant total de CHF 2'767.90, à savoir à CHF 2'520.- au titre d'honoraires (14 heures à CHF 180.-), CHF 50.- au titre de frais et CHF 197.90 au titre de la TVA (7.7%). Ce montant est mis à la charge de l'Etat de Fribourg. (dispositif en page suivante)</w:t>
      </w:r>
    </w:p>
    <w:p>
      <w:r>
        <w:t>Tribunal cantonal TC Page 17 de 17 la Cour arrête : I. Le recours (605 2020 7) est rejeté. II. La requête d'assistance judiciaire gratuite totale (605 2020 8) est admise et Me Jean-Michel Duc, avocat, est désigné comme défenseur d'office. III. Il est alloué à Me Jean-Michel Duc une indemnité de CHF 2'767.90, dont CHF 197.90 au titre de la TVA (7.7%), intégralement mis à la charge de l'Etat de Fribourg. IV. Des frais de justice, fixés à CHF 800.-, sont mis à la charge de la recourante;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mars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