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46 vom 1. April 2021</w:t>
      </w:r>
    </w:p>
    <w:p>
      <w:r>
        <w:t>FR Kantonsgericht, 2021-04-01, FR</w:t>
      </w:r>
    </w:p>
    <w:p>
      <w:r>
        <w:rPr>
          <w:b/>
        </w:rPr>
        <w:t xml:space="preserve">Quelle: </w:t>
      </w:r>
      <w:r>
        <w:t>https://mcp.opencaselaw.ch/entscheid/fr_gerichte_605_2020_46</w:t>
      </w:r>
    </w:p>
    <w:p>
      <w:r>
        <w:t>FR: FR_GERICHTE 605 2020 46 du 1 avril 2021</w:t>
      </w:r>
    </w:p>
    <w:p>
      <w:r>
        <w:t>IT: FR_GERICHTE 605 2020 46 del 1 aprile 2021</w:t>
      </w:r>
    </w:p>
    <w:p>
      <w:pPr>
        <w:pStyle w:val="Heading2"/>
      </w:pPr>
      <w:r>
        <w:t>Regeste</w:t>
      </w:r>
    </w:p>
    <w:p>
      <w:r>
        <w:t>Arrêt de la Ie Cour des assurances sociales du Tribunal cantonal | Invalidenversicherung</w:t>
      </w:r>
    </w:p>
    <w:p>
      <w:pPr>
        <w:pStyle w:val="Heading2"/>
      </w:pPr>
      <w:r>
        <w:t>Erwägungen</w:t>
      </w:r>
    </w:p>
    <w:p>
      <w:r>
        <w:rPr>
          <w:b/>
        </w:rPr>
        <w:t>E. 13</w:t>
      </w:r>
    </w:p>
    <w:p>
      <w:r>
        <w:t>février 2020, reprenant un projet du 27 décembre 2019, l'OAI n'est pas entré en matière sur cette nouvelle demande, estimant que les rapports médicaux produits se limitaient à rapporter une appréciation différente d'un état de fait pour l'essentiel inchangé. D. Contre cette décision, l'assurée, représentée par CAP Protection Juridique, interjette recours devant le Tribunal cantonal le 13 mars 2020 concluant, avec suite de frais et dépens, principalement, à l'octroi d'une rente entière ou à des mesures d'ordre professionnel et, subsidiairement, au renvoi de la cause pour mesures d'instructions complémentaires et nouvelle décision. A l'appui de ses conclusions, elle affirme que son état de santé s'est aggravé depuis la précédente décision, se référant aux rapports de ses différents médecins. Le 6 mai 2020, elle s'est acquittée de l'avance de frais de CHF 400.- requise. Dans ses observations du 13 mai 2020, l'OAI propose le rejet du recours, se référant aux considérants de sa décision et aux pièces de son dossier. Le 9 juin 2020, l'assurée a déposé une détermination spontanée, joignant un rapport de son médecin traitant. Il sera fait état des arguments, invoqués par les parties à l'appui de leurs conclusions, dans les considérants en droit du présent arrêt, pour autant que cela soit utile à la solution du litige.</w:t>
      </w:r>
    </w:p>
    <w:p>
      <w:r>
        <w:t>Tribunal cantonal TC Page 3 de 7 en droit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En l'occurrence, dans sa décision du 4 décembre 2019, l'OAI a refusé d’entrer en matière sur la nouvelle demande de l'assurée. Or, dans son mémoire, la recourante conclut principalement à l'octroi d'une rente entière et/ou de mesures de réadaptation. Cette conclusion s'écarte donc de l'objet de la contestation de sorte que le recours est irrecevable sur ce point. Pour le surplus, en ce qu'il a trait à sa conclusion subsidiaire tendant au renvoi pour instruction complémentaire, le recours est recevable. Il a en effet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2.1.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w:t>
      </w:r>
    </w:p>
    <w:p>
      <w:r>
        <w:t>Tribunal cantonal TC Page 4 de 7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t>Tribunal cantonal TC Page 5 de 7 3. En l'occurrence, il convient d'examiner si l'assurée a rendu plausible que son état de santé s'est aggravé depuis la précédente décision en matière d'assurance-invalidité. A ce stade, la Cour rappelle que, conformément à la jurisprudence applicable dans le cas d'un refus d'entrer en matière, les rapports médicaux produits après le prononcé de la décision attaquée sont sans pertinence pour l'examen par le juge. Ils sont donc d'emblée écartés. 3.1. Cela étant, dans le contexte de nouvelle demande, il est essentiel de rappeler pour quels motifs l'OAI-VS avait nié le droit à une rente à son assurée dans sa décision du 29 août 2019, faisant alors application de la méthode dite "mixte" de détermination de l’invalidité. 3.1.1. S'agissant d'abord de l'exercice d'une activité lucrative, il estimait que l'assurée n'était, certes, plus en mesure de travailler en tant que vendeuse en raison de son état de santé. En revanche, il considérait qu’elle demeurait apte à travailler à 100%, sans diminution de rendement, dans n'importe quelle activité sans travaux lourds et sans activités avec les membres supérieurs au- dessus du plan des épaules (dossier OAI, p. 104). Il se référait en cela aux conclusions du Dr D.________, spécialiste en médecine interne générale au sein de son SMR (rapport du 4 mars 2019, dossier OAI, p. 70) ainsi qu'aux conclusions du Dr E.________, médecin praticien (rapport du 14 décembre 2018, dossier OAI, p. 38). Tous deux évoquaient le diagnostic invalidant de "cervicalgies sur troubles statiques du rachis cervical", causant des limitations fonctionnelles en lien avec le port de charge ainsi qu'avec le travail au-dessus de la tête. 3.1.2. S'agissant ensuite du volet ménager, il se référait aux déclarations de l'assurée, laquelle l'avait informé qu'elle n'avait pas été empêchée dans l'exécution de ses tâches ménagères. Il ne retenait donc aucune invalidité sur ce plan. 3.2. Compte tenu de ce qui précède, reste à déterminer s'il a été rendu plausible que l'état de santé de l’assurée se soit modifié de manière à influencer ses droits depuis lors. C'est la thèse que défend la recourante, se basant sur un rapport du Dr F.________, spécialiste en médecine physique et réadaptation, ainsi que sur un rapport du Dr E.________. Dans son rapport du 17 octobre 2019, dont seules trois pages impaires ont toutefois été produites, le premier retient le diagnostic invalidant de "cervico-dorso-lombalgies chroniques sur troubles statiques du rachis cervico-dorso-lombaire, dysbalances musculaires et déconditionnement global". Selon lui, sa patiente n'est en mesure de travailler dans une activité adaptée qu'avec un rendement de 50%. Une telle activité implique la possibilité de changer de position, d'éviter les positions en porte-à-faux, les ports de charge supérieurs à 3-5 kg et des marches importantes (dossier OAI, p. 141). Pour sa part, dans son rapport du 9 janvier 2020, le second précise que, suite à son précédent rapport du 14 décembre 2018, l'état de santé de sa patiente s'est aggravé. L'évolution de ses atteintes ne permet "plus la position debout statiques prolongées, la position en porte à faux et le port de charge supérieure à 5kg". Selon lui, la "capacité de travail effective, ne devrait pas dépasser 50%" (dossier OAI, p. 168).</w:t>
      </w:r>
    </w:p>
    <w:p>
      <w:r>
        <w:t>Tribunal cantonal TC Page 6 de 7 Pour nier toute aggravation, l'OAI se réfère aux rapports du Dr G.________, spécialiste en médecine interne générale auprès du SMR. Celui-ci considère que les rapports des deux médecins traitants ne mettent pas en évidence un nouvel élément ou aggravation de la situation : il ne s'agit que d'une appréciation différente d'un état inchangé. Selon lui, "l’atteinte à la santé est toujours la même qui avait déjà fait l’objet d’une instruction et d’une décision" et "les allégations de la personne assurée en regard de la péjoration (subjective) des douleurs sont insuffisantes pour rendre plausible une aggravation de l’état de santé avec influence sur la capacité de travail retenue" (rapports du 23 décembre 2019 et du 11 février 2020, dossier OAI, p. 161 et 170). L’autorité de céans partage cet avis. Il ressort en effet du dossier assécurologique que l’aggravation évoquée par les deux médecins traitants consiste surtout en une augmentation des plaintes subjectives de la patiente (intensification des douleurs au niveau des cervicales, des dorsales et des lombaires). Elle n'est, en revanche, aucunement objectivée. L'on constate même que le Dr F.________ se réfère à des radiographies et des analyses sanguines bien antérieures à la décision du 13 février 2020. Pour sa part, le Dr E.________ se contente de relayer les plaintes douloureuses de sa patiente, dans un rapport excessivement sommaire et sans aucun détail. Rien ne justifie dans ces conditions, de se distancier des conclusions étayées du médecin du SMR. 3.3. Au vu de l'ensemble de ce qui précède, il apparaît que la recourante n'a pas rendu plausible l'aggravation de sa situation. C'est dès lors à juste titre que l'OAI n'est pas entré en matière sur cette nouvelle demande. 4. Partant, le recours, mal fondé, doit être rejeté dans la mesure de sa recevabilité. La procédure n'étant pas gratuite, les frais de justice, fixés à CHF 400.-, sont mis à la charge de la recourante. Ils sont compensés avec l'avance de CHF 400.- effectuée. Compte tenu de l'issue du recours, il n'est pas octroyé d'indemnité de partie. (dispositif en page suivante)</w:t>
      </w:r>
    </w:p>
    <w:p>
      <w:r>
        <w:t>Tribunal cantonal TC Page 7 de 7 la Cour arrête : I. Le recours, dans la mesure de sa recevabilité, est rejeté. II. Les frais de justice, fixés à CHF 400.-, sont mis à la charge de la recourante; ils sont compensés avec l'avance de CHF 400.-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