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44 vom 3. Dezember 2020</w:t>
      </w:r>
    </w:p>
    <w:p>
      <w:r>
        <w:t>FR Kantonsgericht, 2020-12-03, FR</w:t>
      </w:r>
    </w:p>
    <w:p>
      <w:r>
        <w:rPr>
          <w:b/>
        </w:rPr>
        <w:t xml:space="preserve">Quelle: </w:t>
      </w:r>
      <w:r>
        <w:t>https://mcp.opencaselaw.ch/entscheid/fr_gerichte_605_2020_44</w:t>
      </w:r>
    </w:p>
    <w:p>
      <w:r>
        <w:t>FR: FR_GERICHTE 605 2020 44 du 3 décembre 2020</w:t>
      </w:r>
    </w:p>
    <w:p>
      <w:r>
        <w:t>IT: FR_GERICHTE 605 2020 44 del 3 dicembre 2020</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dûment représentée, est en outre directement atteinte par la décision querellée et possède dès lors un intérêt digne de protection à ce qu'elle soit, cas échéant, annulée ou modifiée.</w:t>
      </w:r>
    </w:p>
    <w:p>
      <w:r>
        <w:rPr>
          <w:b/>
        </w:rPr>
        <w:t>E. 2</w:t>
      </w:r>
    </w:p>
    <w:p>
      <w:r>
        <w:t>Règles relatives à l'invalidité</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w:t>
      </w:r>
    </w:p>
    <w:p>
      <w:r>
        <w:t>Tribunal cantonal TC Page 4 de 11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3</w:t>
      </w:r>
    </w:p>
    <w:p>
      <w:r>
        <w:t>Règles relatives à l'instruction médicale</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5 de 11</w:t>
      </w:r>
    </w:p>
    <w:p>
      <w:r>
        <w:rPr>
          <w:b/>
        </w:rPr>
        <w:t>E. 3.3</w:t>
      </w:r>
    </w:p>
    <w:p>
      <w:r>
        <w:t>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Discussion relative à l'instruction médicale</w:t>
      </w:r>
    </w:p>
    <w:p>
      <w:r>
        <w:rPr>
          <w:b/>
        </w:rPr>
        <w:t>E. 4.1</w:t>
      </w:r>
    </w:p>
    <w:p>
      <w:r>
        <w:t>Dans le cadre de l'instruction du dossier, l'OAI a diligenté une expertise auprès du Dr D.________. Dans son rapport du 11 août 2018, l'expert-psychiatre retient le diagnostic invalidant de "personnalité état-limite avec des éléments sensitifs relativement marqués" et le diagnostic non invalidant de "trouble dépressif majeur, récurrent, de gravité légère éventuellement moyenne". Il estime que l'assurée était en incapacité complète de travail jusqu'au 30 septembre 2017. Par la suite, il fixe la capacité de travail à un maximum de 70% dans son activité actuelle, indiquant que le fonctionnement de l'assurée pourrait conduire à des problèmes dans le monde du travail. Il précise que l'état de santé implique des "capacités adaptatives réduites" et "l'absence de possibilité d'apprentissage par l'expérience". Il s'estime par ailleurs dubitatif concernant le pronostic à moyen terme, "car maintenant le moindre conflit, les moindres difficultés, sont susceptibles d'entrainer la mise en œuvre de mécanismes projectifs comme cela a été le cas à de multiples reprises dans le passé" (dossier OAI, p. 216). Dans un complément du 11 juin 2019, l'expert précise ce qui suit: "si tant est que [l'assurée] ne supporterait pas le stress et soit incapable d'apprentissage, elle dispose de nombreuses compétences professionnelles qui sont susceptibles de lui permettre une activité dans une petite structure adaptée à son profil et à ses compétences" (dossier OAI, p. 300). L'expert a pu avoir une pleine connaissance du cas en se fondant sur le dossier mis à sa disposition par l'OAI, sur un entretien avec l'assurée, des tests psychométriques et un rapport complémentaire du psychiatre traitant. Il procède également à une étude approfondie des problématiques médicales et professionnelles, expliquant de manière détaillée les motifs le</w:t>
      </w:r>
    </w:p>
    <w:p>
      <w:r>
        <w:t>Tribunal cantonal TC Page 6 de 11 conduisant à retenir l'existence d'un trouble de la personnalité et son impact sur la capacité de travail. L'on constate néanmoins que l'expert-psychiatre retient l'existence d'une incapacité complète de travail jusqu'au 30 septembre 2017, alors même que l'assurée a repris l'exercice d'une activité lucrative le 15 avril 2017, d'abord à 80% jusqu'au 30 septembre 2017, puis à 70% depuis lors et jusqu'à ce jour. Il s'agit manifestement d'une coquille, ce qui justifie une correction des conclusions du médecin. Celles-ci doivent être modifiées dans le sens où une incapacité complète de travail doit être reconnue jusqu'au 14 avril 2017 et non jusqu'au 30 septembre 2017. Pour le surplus, l'expertise du Dr D.________ remplit les conditions formelles pour lui reconnaître une pleine valeur probante. Le Dr F.________, spécialiste en anesthésiologie, du Service médical régional (SMR), confirme par ailleurs que ce rapport "remplit les critères de qualité requis d’une expertise médicale" et admet que "ses conclusions peuvent être validées sous l’angle de la médecine d’assurance" (dossier OAI, p. 255).</w:t>
      </w:r>
    </w:p>
    <w:p>
      <w:r>
        <w:rPr>
          <w:b/>
        </w:rPr>
        <w:t>E. 4.2</w:t>
      </w:r>
    </w:p>
    <w:p>
      <w:r>
        <w:t>L'avis du Dr D.________ est au demeurant concordant avec les conclusions du psychiatre traitant de l'assurée, le Dr G.________, spécialiste en psychiatrie et psychothérapie. Dans son rapport du 29 septembre 2017, celui-ci retient en effet également que sa patiente souffre d'une dépression récurrente – alors en rémission – et d'une modification de la personnalité. Il relève des limitations dans la capacité de concentration ("sentiment de ne plus pouvoir se concentrer dans des situations de stress"), dans la capacité d'adaptation ("sensibilité au stress et aux changements") et dans la résistance ("fatigabilité") (dossier OAI, p. 141). Cela le conduit à fixer la capacité de travail à 70% (dossier OAI, p. 139; cf. ég. p. 248). Cet avis est également confirmé par la lecture de l'état de fait puisque l'assurée est en mesure de travailler à un taux de 70%, soit le taux retenu par l'expert-psychiatre, auprès de son employeur actuel.</w:t>
      </w:r>
    </w:p>
    <w:p>
      <w:r>
        <w:rPr>
          <w:b/>
        </w:rPr>
        <w:t>E. 4.3</w:t>
      </w:r>
    </w:p>
    <w:p>
      <w:r>
        <w:t>Partant, l'on retient que l'assurée était en incapacité complète de travail jusqu'au 14 avril 2017. Par la suite, elle doit se voir reconnaître une capacité de travail de 70% dans une activité adaptée, tenant compte de ses capacités adaptatives réduites et de l'absence de possibilité d'apprentissage par l'expérience.</w:t>
      </w:r>
    </w:p>
    <w:p>
      <w:r>
        <w:rPr>
          <w:b/>
        </w:rPr>
        <w:t>E. 5</w:t>
      </w:r>
    </w:p>
    <w:p>
      <w:r>
        <w:t>Règles relatives au calcul du degré d'invalidité</w:t>
      </w:r>
    </w:p>
    <w:p>
      <w:r>
        <w:rPr>
          <w:b/>
        </w:rPr>
        <w:t>E. 5.1</w:t>
      </w:r>
    </w:p>
    <w:p>
      <w:r>
        <w:t>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5.2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w:t>
      </w:r>
    </w:p>
    <w:p>
      <w:r>
        <w:t>Tribunal cantonal TC Page 7 de 11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w:t>
      </w:r>
    </w:p>
    <w:p>
      <w:r>
        <w:rPr>
          <w:b/>
        </w:rPr>
        <w:t>E. 5.3</w:t>
      </w:r>
    </w:p>
    <w:p>
      <w:r>
        <w:t>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t>Tribunal cantonal TC Page 8 de 11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6</w:t>
      </w:r>
    </w:p>
    <w:p>
      <w:r>
        <w:t>Discussion relative au droit à la rente</w:t>
      </w:r>
    </w:p>
    <w:p>
      <w:r>
        <w:rPr>
          <w:b/>
        </w:rPr>
        <w:t>E. 6.1</w:t>
      </w:r>
    </w:p>
    <w:p>
      <w:r>
        <w:t>Dans sa décision du 12 février 2020, l'OAI a d'abord considéré que la recourante devait se voir reconnaître le droit à une rente entière du 1er août 2016 au 30 septembre 2017, son état de santé s'étant amélioré début octobre 2017. L'on constate d'emblée que la date du 30 septembre 2017 ne prend pas en compte les trois mois figurant à l'art. 88a du règlement du 17 janvier 1961 sur l'assurance-invalidité (RAI; RS 831.201; cf. arrêt TF 9C_687/2018 du 16 mai 2019 consid. 2). En effet, selon cette disposition,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Cependant, comme indiqué ci-avant, il convient de tenir compte d'une amélioration de la capacité de travail au 14 avril 2017, ce qui a pour effet que le droit à la rente entière devrait cesser au 30 juin 2017 au lieu du 30 septembre 2017. En l'occurrence, il est renoncé à corriger la décision contestée sur ce point dans la mesure où cette correction apparaît d'une importance très relative (arrêt TF H 161/06 du 6 août 2007 consid. 5.6 in SVR 2008 AHV n° 8) et compte tenu du fait que, si la loi permet à l’autorité de recours de procéder à une reformatio in pejus, il s'agit là d'une simple faculté (cf. ATF 119 V 241 consid. 5). Partant, le droit à une rente entière du 1er août 2016 au 30 septembre 2017 est confirmé.</w:t>
      </w:r>
    </w:p>
    <w:p>
      <w:r>
        <w:rPr>
          <w:b/>
        </w:rPr>
        <w:t>E. 6.2</w:t>
      </w:r>
    </w:p>
    <w:p>
      <w:r>
        <w:t>Pour la période ultérieure, l'autorité intimée a procédé à la comparaison des revenus de valide et d'invalide. S'agissant d'abord du revenu de valide, elle a retenu un montant de CHF 143'072.50. Ce montant correspond au montant que l'assurée percevait en 2016 auprès de son ancien employeur pour une activité à un taux de 100% (cf. dossier OAI, p. 44 et 154). Compte tenu des circonstances du cas d'espèce, il peut être confirmé dans son principe. Il convient néanmoins d'adapter ce montant à l'évolution des salaires nominaux (indices de 103.231 pour 2016 et 103.3703 pour 2017, cf. OFS, T1.10 Indice des salaires nominaux par branches 2011-2017, 84 Administration publique). Partant, le revenu de valide est fixé à CHF 143'265.55.</w:t>
      </w:r>
    </w:p>
    <w:p>
      <w:r>
        <w:t>Tribunal cantonal TC Page 9 de 11</w:t>
      </w:r>
    </w:p>
    <w:p>
      <w:r>
        <w:rPr>
          <w:b/>
        </w:rPr>
        <w:t>E. 6.3</w:t>
      </w:r>
    </w:p>
    <w:p>
      <w:r>
        <w:t>S'agissant ensuite du revenu d'invalide, l'OAI a retenu un montant de CHF 100'150.75. A lire la décision, il apparaît que ce montant correspond à l'ancien salaire de l'assurée, réduit à la capacité de travail médicalement attestée (70% de CHF 143'072.50). Cependant, aucun élément au dossier ne rend vraisemblable que la recourante soit aujourd'hui en mesure d'atteindre un tel revenu, ni même qu'elle soit encore apte à pratiquer l'activité afférente à celui-ci. Par ailleurs, ce calcul équivaut à une simple comparaison de pourcentages. Or, de jurisprudence constante, il n'est qu'exceptionnellement admissible de déterminer le degré d'invalidité sur la base de la simple évaluation médico-théorique de la capacité de travail (Cf. ATF 114 V 310 consid. 3; 104 V 135 consid. 2b; arrêt TF 9C_260/2013 du 9 août 2013 consid. 4.2). De telles circonstances ne sont ici pas remplies. Il convient plutôt de privilégier un revenu d'invalide se basant sur la situation professionnelle concrète de l'assurée. A ce stade, la Cour se doit de relever qu'il n'est pas clairement indiqué pour quels motifs l'OAI ne s'est pas, en premier lieu, référé à ce montant au titre de revenu d'invalide. La décision n'est que peu claire à cet égard, n'examinant manifestement pas cette question pourtant soulevée par la recourante dans ses objections du 15 janvier 2019. L'assurée est au bénéfice d'un contrat de travail de durée indéterminée depuis octobre 2017 et obtient un revenu annuel de CHF 78'204.- pour un travail à 70%, à savoir le pourcentage évoqué par l'expert-psychiatre. Cela correspond à un revenu annuel de CHF 111'720.- pour un 100% (cf. dossier OAI, p. 150). Ce montant est bien supérieur au salaire médian de CHF 88'728.- pour un emploi nécessitant un niveau de compétence élevé selon l'enquête suisse sur la structure des salaires 2016 (ESS 2016, TA1_tirage_skill_level, total, femmes, niveau de compétence 4). Il est, en revanche, proche du salaire moyen des cadres supérieurs et moyens, à savoir CHF 106'332.- par an pour un 100% (Office fédéral de la statistique, Salaire mensuel brut selon la position professionnelle et le sexe en 2016, position 1+2, femmes). Cette activité de conseil en orientation pour la formation professionnelle post-obligatoire met par ailleurs pleinement en valeur sa capacité de travail résiduelle exigible. En particulier, l'expert- psychiatre indique que "ce taux d'activité est probablement le maximum qu'elle puisse réaliser" et l'assurée "a une légère baisse de sa capacité de travail en raison de capacités adaptatives limitées dans son activité professionnelle, tout comme sa vie sociale et de loisirs, qui semblent relativement restreintes. L'assurée ne supporte guère de stress, a beaucoup de peine à se relationner avec autrui en raison d'une certaine méfiance, a tendance à mal interpréter, sur un mode projectif, les intentions de son environnement". Partant, il se justifie de retenir le montant de CHF 78'204.- comme revenu d'invalide.</w:t>
      </w:r>
    </w:p>
    <w:p>
      <w:r>
        <w:rPr>
          <w:b/>
        </w:rPr>
        <w:t>E. 6.4</w:t>
      </w:r>
    </w:p>
    <w:p>
      <w:r>
        <w:t>Il ressort de la comparaison des revenus de valide (CHF 143'265.55) et d'invalide (CHF 78'204.-) que la perte de gain se monte à CHF 65'061.55. Cela correspond à un degré d'invalidité de 45.41%, soit 45% (cf. ATF 130 V 121). Un degré d'invalidité supérieur à 40% donne droit à un quart de rente.</w:t>
      </w:r>
    </w:p>
    <w:p>
      <w:r>
        <w:t>Tribunal cantonal TC Page 10 de 11</w:t>
      </w:r>
    </w:p>
    <w:p>
      <w:r>
        <w:rPr>
          <w:b/>
        </w:rPr>
        <w:t>E. 7</w:t>
      </w:r>
    </w:p>
    <w:p>
      <w:r>
        <w:t>Il ressort de l'ensemble de ce qui précède que, bien fondé, le recours doit être admis et la décision du 12 février 2020 modifiée dans le sens où l'assurée a droit à un quart de rente à partir du 1er octobre 2017. Elle est confirmée pour le surplus. Compte tenu de l'admission du recours, l'assurée a droit à une indemnité de partie. Le 10 septembre 2020, sa mandataire a transmis une liste des opérations facturées à la protection juridique pour un total de 35.9 heures. Toutefois, la liste de frais produite prend en compte des opérations bien antérieures à la décision du 12 février 2020 et qui n'ont, dès lors, pas à être prises en charge dans le cadre de la présente procédure. Dans ces circonstances, la Cour s'écarte des opérations qui y figurent et fixe l'indemnité d’office, selon sa libre appréciation (cf. art. 11 du tarif cantonal du 17 décembre 1991 des frais de procédure et des indemnités en matière de juridiction administrative; Tarif JA, RSF 150.12). Compte tenu de l'importance et de la difficulté de l'affaire (art. 11 al. 2 Tarif JA), l'indemnité de partie est fixée à un montant total de CHF 2'207.85, à savoir à CHF 2'000.- au titre d'honoraires (8 heures à CHF 250.-), CHF 50.- au titre de frais et CHF 157.85 au titre de la TVA (7.7%). Ce montant est mis à la charge de l'autorité intimée qui succombe. Compte tenu de l'issue du litige, il convient d'astreindre l'autorité intimée qui succombe au paiement des frais de procédure de CHF 800.-. L'avance de frais effectuée par la recourante, à raison de CHF 800.-, lui est restituée. (dispositif en page suivante)</w:t>
      </w:r>
    </w:p>
    <w:p>
      <w:r>
        <w:t>Tribunal cantonal TC Page 11 de 11 la Cour arrête : I. Le recours est admis. Partant, la décision du 12 février 2020 est modifiée dans le sens où l'assurée a droit à un quart de rente à partir du 1er octobre 2017. Elle est confirmée pour le surplus. II. Les frais de justice, fixés à CHF 800.-, sont mis à la charge de l'autorité intimée. III. L'avance de frais effectuée par la recourante, à raison de CHF 800.-, lui est restituée. IV. L'indemnité de partie est fixée à CHF 2'207.85, dont CHF 157.85 au titre de la TVA (7.7%). Elle est intégralement prise en charge par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