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191 vom 6. Mai 2021</w:t>
      </w:r>
    </w:p>
    <w:p>
      <w:r>
        <w:t>FR Kantonsgericht, 2021-05-06, FR</w:t>
      </w:r>
    </w:p>
    <w:p>
      <w:r>
        <w:rPr>
          <w:b/>
        </w:rPr>
        <w:t xml:space="preserve">Quelle: </w:t>
      </w:r>
      <w:r>
        <w:t>https://mcp.opencaselaw.ch/entscheid/fr_gerichte_605_2020_191</w:t>
      </w:r>
    </w:p>
    <w:p>
      <w:r>
        <w:t>FR: FR_GERICHTE 605 2020 191 du 6 mai 2021</w:t>
      </w:r>
    </w:p>
    <w:p>
      <w:r>
        <w:t>IT: FR_GERICHTE 605 2020 191 del 6 maggio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w:t>
      </w:r>
    </w:p>
    <w:p>
      <w:r>
        <w:t>Tribunal cantonal TC Page 3 de 5 facteur extérieur. Il suffit que l'un d'entre eux fasse défaut pour que l'événement ne puisse pas être qualifié d'accident (arrêt TF 8C_26/2019 du 11 septembre 2019 consid. 3.1 et les références citées).</w:t>
      </w:r>
    </w:p>
    <w:p>
      <w:r>
        <w:rPr>
          <w:b/>
        </w:rPr>
        <w:t>E. 2.1</w:t>
      </w:r>
    </w:p>
    <w:p>
      <w:r>
        <w:t>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(arrêt TF 8C_26/2019 consid. 3.1 précité).</w:t>
      </w:r>
    </w:p>
    <w:p>
      <w:r>
        <w:rPr>
          <w:b/>
        </w:rPr>
        <w:t>E. 2.2</w:t>
      </w:r>
    </w:p>
    <w:p>
      <w:r>
        <w:t>Le facteur extérieur est considéré comme extraordinaire lorsqu'il excède le cadre des événements et des situations que l'on peut objectivement qualifier de quotidiens ou d'habituels, autrement dit des incidents et péripéties de la vie courante.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TF 8C_26/2019 consid. 3.1 précité).</w:t>
      </w:r>
    </w:p>
    <w:p>
      <w:r>
        <w:rPr>
          <w:b/>
        </w:rPr>
        <w:t>E. 3</w:t>
      </w:r>
    </w:p>
    <w:p>
      <w:r>
        <w:t>Aux termes de l'art. 6 al. 2 LAA (dans sa version entrée en vigueur le 1er janvier 2017),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Dans cette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(arrêt TC FR 605 2019 214 du 15 juillet 2020 consid. 2.4. et les références citées).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évaluée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(arrêts TF 8C_267/2019 du 30 octobre 2019 consid. 6 et 8C_22/2019 du 24 septembre 2019 consid. 8; arrêt TC FR 605 2019 339 du 24 novembre 2020 consid. 3 avec les références citées).</w:t>
      </w:r>
    </w:p>
    <w:p>
      <w:r>
        <w:rPr>
          <w:b/>
        </w:rPr>
        <w:t>E. 4</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w:t>
      </w:r>
    </w:p>
    <w:p>
      <w:r>
        <w:t>Tribunal cantonal TC Page 4 de 5 359 consid. 5a).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w:t>
      </w:r>
    </w:p>
    <w:p>
      <w:r>
        <w:rPr>
          <w:b/>
        </w:rPr>
        <w:t>E. 5</w:t>
      </w:r>
    </w:p>
    <w:p>
      <w:r>
        <w:t>Est litigieuse, en l'espèce, la question de savoir si l'assuré a droit aux prestations de l'assurance- accidents obligatoire – dont à la prise en charge de son opération du 28 mai 2020 – en raison de l'événement survenu le 11 mars 2020 lors du ponçage de la terrasse en bois de son domicile.</w:t>
      </w:r>
    </w:p>
    <w:p>
      <w:r>
        <w:rPr>
          <w:b/>
        </w:rPr>
        <w:t>E. 5.1</w:t>
      </w:r>
    </w:p>
    <w:p>
      <w:r>
        <w:t>Dans la déclaration d'accident remplie le 2 juin 2020 (cf. dossier Vaudoise [ci-après: dossier], pce 5), l’assuré a décrit l'événement comme suit: "Lors du ponçage de la terrasse en bois je me suis blessé le tendon du pouce gauche car la machine a eu un coup d'accélération non prévu". En outre, dans le questionnaire qu'il a retourné à la Vaudoise le 4 juin 2020 (dossier, pce 10), l'assuré a exposé que "Pour le ponçage de notre terrasse en bois j'ai loué une machine, laquelle je n'arrivais pas très bien [à] manipuler. Elle demandait de la force, raison pour laquelle je me suis fissuré le tendon (il est sorti du canal); une opération était nécessaire". A ses dires, l'activité s'est déroulée dans des conditions normales. A la question "S'est-il produit quelque chose de particulier (coup, chute, glissade, etc.) ? ", l'assuré a répondu: "Tendon sorti du canal". Il a ajouté que "Le pouce était enflé et j'avais des douleurs continuelles; après plusieurs traitements à travers la permanence médicale, une intervention chez le Dr D.________ était nécessaire". Dans son protocole opératoire du 28 mai et son rapport du 3 juin 2020, le Dr D.________, médecin spécialiste en chirurgie orthopédique et traumatologie ainsi qu’en chirurgie de la main, a retenu le diagnostic de pouce à ressaut bloqué et procédé à une cure chirurgicale (dossier pces 1, 8, 12). Dans sa prise de position du 29 juin 2020, le Dr E.________, médecin spécialiste en chirurgie orthopédique et médecin conseil de la Vaudoise, a diagnostiqué une tendinopathie du tendon fléchisseur du pouce gauche, un pouce à ressaut d’origine maladive. Il a noté une discrète arhtrose digitale interphalangienne et considéré que les troubles actuels n’étaient pas en relation de causalité avec l’événement concerné. Il a par ailleurs exclu l’existence d’une lésion corporelle au sens de l’art.</w:t>
      </w:r>
    </w:p>
    <w:p>
      <w:r>
        <w:rPr>
          <w:b/>
        </w:rPr>
        <w:t>E. 5.2</w:t>
      </w:r>
    </w:p>
    <w:p>
      <w:r>
        <w:t>En l’espèce, le recourant ne fait état d’aucun événement extraordinaire dans le questionnaire qu’il a rempli à l’attention de l’assureur et a même exposé que l’activité s’était déroulée dans des conditions normales. L’existence d’un facteur extérieur extraordinaire doit donc être niée.</w:t>
      </w:r>
    </w:p>
    <w:p>
      <w:r>
        <w:t>Tribunal cantonal TC Page 5 de 5 Les médecins sollicités sont d’ailleurs unanimes sur le diagnostic à retenir et le Dr E.________ a expressément exclu que les troubles actuels pouvaient être en relation de causalité naturelle avec l’accident. Les conditions de l’art. 6 al. 1 LAA ne sont donc pas remplies. Celles de l’art. 6 al. 2 LAA ne le sont pas davantage. En effet, si le recourant fait état d’une fissure du tendon, aucun des médecins sollicités ne confirme cet état de fait, seul un pouce à ressaut ayant été diagnostiqué. Le médecin conseil de l’assureur a d’ailleurs nié l’existence d’une lésion corporelle au sens de cette disposition.</w:t>
      </w:r>
    </w:p>
    <w:p>
      <w:r>
        <w:rPr>
          <w:b/>
        </w:rPr>
        <w:t>E. 6</w:t>
      </w:r>
    </w:p>
    <w:p>
      <w:r>
        <w:t>Compte tenu de ce qui précède, le recours du 23 septembre 2020 doit être rejeté et la décision sur opposition du 15 septembre 2020 confirmée. En application du principe de la gratuité de la procédure valant en la matière (cf. art. 61 let. a LPGA), applicable par le renvoi de l'art. 1 al. 1 LAA),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mai 2021/yho/sco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