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161 vom 2. September 2021</w:t>
      </w:r>
    </w:p>
    <w:p>
      <w:r>
        <w:t>FR Kantonsgericht, 2021-09-02, FR</w:t>
      </w:r>
    </w:p>
    <w:p>
      <w:r>
        <w:rPr>
          <w:b/>
        </w:rPr>
        <w:t xml:space="preserve">Quelle: </w:t>
      </w:r>
      <w:r>
        <w:t>https://mcp.opencaselaw.ch/entscheid/fr_gerichte_605_2020_161</w:t>
      </w:r>
    </w:p>
    <w:p>
      <w:r>
        <w:t>FR: FR_GERICHTE 605 2020 161 du 2 septembre 2021</w:t>
      </w:r>
    </w:p>
    <w:p>
      <w:r>
        <w:t>IT: FR_GERICHTE 605 2020 161 del 2 settembre 2021</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Aux termes de l’art. 8 de la loi du 6 octobre 2000 sur la partie générale du droit des assurances sociales (LPGA ; RS 830.1), applicable par le biais de l’art. 1 de la loi du 19 juin 1959 sur l’assurance- invalidité (LAI ; RS 831.20), est réputée invalidité l’incapacité de gain totale ou partielle qui est présumée permanente ou de longue durée. Selon l’art. 4 al. 1 LAI, dite invalidité peut résulter d’une infirmité congénitale, d’une maladie ou d’un accident.</w:t>
      </w:r>
    </w:p>
    <w:p>
      <w:r>
        <w:rPr>
          <w:b/>
        </w:rPr>
        <w:t>E. 2.1</w:t>
      </w:r>
    </w:p>
    <w:p>
      <w:r>
        <w:t>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w:t>
      </w:r>
    </w:p>
    <w:p>
      <w:r>
        <w:t>Tribunal cantonal TC Page 5 de 17 par l’assurance-invalidité, les diminutions de la capacité de gain que l’assuré pourrait empêcher en faisant preuve de bonne volonté ; la mesure de ce qui est exigible doit être déterminée aussi objectivement que possible (art. 7 al. 2 2ème phrase LPGA ; ATF 141 V 281 consid. 3.7.1 ; 102 V 165 ; VSI 2001 p. 223 consid. 2b et les références citées ; cf. également ATF 141 V 281 consid. 3.7.1 ; 102 V 165 ; VSI 2001 p. 223 consid. 2b et les références citées ; cf. également ATF 127 V 294 consid. 4c i. f.). La reconnaissance de l’existence de l’atteinte à la santé psychique suppose la présence d’un diagnostic émanant d’un expert (psychiatre) et s’appuyant lege artis sur les critères d’un système de classification reconnu (ATF 141 V 281 consid. 2.1 et 2.1.1 ;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résultant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132 V 65 consid. 4.2.2 ; 131 V 49 consid. 1.2). Selon l’ATF 141 V 281, la capacité de travail réellement exigibles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w:t>
      </w:r>
    </w:p>
    <w:p>
      <w:r>
        <w:rPr>
          <w:b/>
        </w:rPr>
        <w:t>E. 2.3</w:t>
      </w:r>
    </w:p>
    <w:p>
      <w:r>
        <w:t>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en soi qui est assurée, ce sont bien plutôt les conséquences économiques de celle-ci, c’est-à-dire une incapacité de gain qui sera probablement permanente ou de longue durée (ATF 127 V 294). Le taux d’invalidité est une notion juridique fondée sur des éléments d’ordre essentiellement économique, et pas une notion médicale, il ne se confond donc pas forcément avec le taux de l’incapacité fonctionnelle qu’il importe d’évaluer (ATF 122 V 418).</w:t>
      </w:r>
    </w:p>
    <w:p>
      <w:r>
        <w:rPr>
          <w:b/>
        </w:rPr>
        <w:t>E. 2.4</w:t>
      </w:r>
    </w:p>
    <w:p>
      <w:r>
        <w:t>Selon l’art. 28 al. 1 LAI, l’assuré a droit à une rente si sa capacité de gain ou sa capacité d’accomplir des travaux habituels ne peut être rétablie, maintenue ou améliorée par des mesures</w:t>
      </w:r>
    </w:p>
    <w:p>
      <w:r>
        <w:t>Tribunal cantonal TC Page 6 de 17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d’invalidité : un taux d’invalidité de 40% au moins donne droit à un quart de rente, lorsque l’invalidité atteint 50% au moins, l’assuré a droit à une demi-rente ; lorsqu’elle atteint 60% au moins, l’assuré a droit à trois quarts de rente et lorsque le taux d’invalidité est de 70% au moins, il a droit à une rente entière.</w:t>
      </w:r>
    </w:p>
    <w:p>
      <w:r>
        <w:rPr>
          <w:b/>
        </w:rPr>
        <w:t>E. 3</w:t>
      </w:r>
    </w:p>
    <w:p>
      <w:r>
        <w:t>Selon l'art. 87 al. 4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3 sont remplies. D'après ce dernier alinéa, lorsqu'une demande de révision est déposée, celle-ci doit établir de façon plausible que l'invalidité ou l'impotence s'est modifiée de manière à influencer ses droits. Dans le cadre de l'examen d'une nouvelle demande, il s'agira, par conséquent, d'appliquer par analogie les principes relatifs à l'examen de la révision de la rente au sens de l'art. 17 LPGA, lequel prévoit que si le taux d'invalidité du bénéficiaire de la rente subit une modification notable, la rente est, d'office ou sur demande, révisée pour l'avenir, à savoir augmentée ou réduite en conséquence, ou encore supprimée (al. 1). Ainsi, pour déterminer si la modification des faits (relatifs à l'état de santé ou à la situation économique) suffit à admettre le droit à la prestation litigieuse, il y a lieu de comparer les faits tels qu'ils se présentaient au moment de la décision de refus et les circonstances existant au moment du prononcé de la nouvelle décision (ATF 130 V 343 consid. 3.5).</w:t>
      </w:r>
    </w:p>
    <w:p>
      <w:r>
        <w:rPr>
          <w:b/>
        </w:rPr>
        <w:t>E. 3.1</w:t>
      </w:r>
    </w:p>
    <w:p>
      <w:r>
        <w:t>Tout changement important de circonstances propres à influencer le degré d'invalidité, et donc le droit à la rente, peut motiver une révision selon l'art. 17 LPGA. La rente peut ainsi être révisée non seulement en cas de modification sensible de l'état de santé, mais aussi lorsque celui- ci est resté en soi le même, mais que ses conséquences sur la capacité de gain ont subi un changement important (ATF 130 V 343 consid. 3.5 et 126 V 75 consid. 1b). Une simple appréciation différente d'un état de fait qui, pour l'essentiel, est demeuré inchangé n'appelle en revanche pas à une révision au sens de l'art. 17 LPGA (ATF 112 V 371 consid. 2b).</w:t>
      </w:r>
    </w:p>
    <w:p>
      <w:r>
        <w:rPr>
          <w:b/>
        </w:rPr>
        <w:t>E. 3.2</w:t>
      </w:r>
    </w:p>
    <w:p>
      <w:r>
        <w:t>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134 V 131 consid. 3; 133 V 108).</w:t>
      </w:r>
    </w:p>
    <w:p>
      <w:r>
        <w:rPr>
          <w:b/>
        </w:rPr>
        <w:t>E. 4</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 114 V 314 ; RCC 1982 p. 36).</w:t>
      </w:r>
    </w:p>
    <w:p>
      <w:r>
        <w:t>Tribunal cantonal TC Page 7 de 17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établie en pleine connaissance de l’anamnèse, que la description du contexte médical et l’appréciation de la situation médicale soient claires et enfin que les conclusions de l’expert soient dûment motivées (ATF 125 V 351 consid. 3a ; 122 V 157).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TFA I 514/06 du 25 mai 2007 publié in SVR 2008 IV n°15 p. 43), on se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2020 consid. 2.2).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5</w:t>
      </w:r>
    </w:p>
    <w:p>
      <w:r>
        <w:t>En l’espèce, le litige porte sur le point de savoir si l’état de santé du recourant s’est aggravé, respectivement si son taux d’invalidité s’est modifié depuis 2006, soit le moment où il avait été constaté qu’il était réinséré professionnellement et qu’il pouvait réaliser un revenu qui excluait le droit à la rente.</w:t>
      </w:r>
    </w:p>
    <w:p>
      <w:r>
        <w:t>Tribunal cantonal TC Page 8 de 17</w:t>
      </w:r>
    </w:p>
    <w:p>
      <w:r>
        <w:rPr>
          <w:b/>
        </w:rPr>
        <w:t>E. 5.1</w:t>
      </w:r>
    </w:p>
    <w:p>
      <w:r>
        <w:t>Parcours professionnel Le recourant, né en 1967, n’est au bénéfice d’aucune formation professionnelle. Il a travaillé pour plusieurs employeurs en tant que cordonnier, aide-paysagiste, aide-serrurier, magasinier, machiniste, puis dès 2006 comme gérant de restaurant, aide-cuisinier et pizzaïolo.</w:t>
      </w:r>
    </w:p>
    <w:p>
      <w:r>
        <w:rPr>
          <w:b/>
        </w:rPr>
        <w:t>E. 5.2</w:t>
      </w:r>
    </w:p>
    <w:p>
      <w:r>
        <w:t>Situation au moment de la décision du 16 février 2006 constatant la réussite des mesures professionnelles et niant le droit à la rente Au moment où il a déposé sa première demande de prestations auprès de l’assurance-invalidité, soit en janvier 2004, suite à des problèmes à sa hanche gauche, l’assuré travaillait en tant que machiniste depuis plusieurs années auprès de l’entreprise C.________, à D.________. Dans son rapport médical du 25 novembre 2003 adressé au médecin traitant de l’assuré, le Dr N.________, spécialiste en médecine générale, le Dr E.________, spécialiste en chirurgie orthopédique, indique que dans ce contexte de troubles dégénératifs débutants coxo-fémoraux à gauche, il faut tenter de changer l’activité professionnelle du patient car le travail de machiniste lui paraît lourd pour ce genre de pathologie. Le 22 janvier 2004, le recourant a été opéré et porte depuis lors une prothèse totale à la hanche gauche en raison d’une coxarthrose avec kystes intra-osseux gauche invalidante. Dans son rapport médical du 1er novembre 2004, le Dr N.________, pose les diagnostics de persistance d’un syndrome douloureux au niveau du psoas gauche, status après PTH gauche sur coxarthrose le 22 janvier 2004, status après cure hernie inguinale à gauche opérée en 2002, hernie inguinale droite, coxarthrose droite débutante. Le Dr N.________ sollicite le Dr O.________, de la consultation d’antalgie à P.________, pour avis étant donné que ni la physiothérapie, ni les approches chirurgicales, ni les médicaments n’ont pu influencer favorablement la douleur à la hanche, laquelle handicape passablement l’assuré. Dans son rapport médical du 10 janvier 2005, le Dr O.________ pose le diagnostic de syndrome douloureux du muscle ilio-psoas gauche avec en plus une douleur péri-cicatricielle de type neurinome. Au niveau thérapeutique, il propose de pratiquer des infiltrations des deux cicatrices, d’une part, et d’autre part, de pratiquer un bloc sympathique lombaire gauche. Suivant le résultat, il propose de répéter ces infiltrations ou alors de pratiquer des infiltrations locales au niveau des insertions musculaires et sur le trajet inguinal. En dernier ressort, il verrait une thérapie neurale. Dans son rapport médical du 20 janvier 2005, le Dr E.________ mentionne que l’activité de cafetier- restaurateur n’est pas adaptée à l’état de santé de l’assuré mais que, dans une autre activité adaptée où il serait peu debout, comme gérant ou assistant social par exemple, il pourrait travailler 8 heures par jour. Appelé à se prononcer, le Dr Q.________, médecin au Service médical régional des offices AI de Berne/Fribourg/Soleure (ci-après : SMR) indique le 25 février 2005 que l’assuré a une capacité de travail entière dans une activité adaptée et respectant les limitations fonctionnelles (port de charges lourdes, max. 10 kg, position statique prolongée (nécessité d’une alternance position assise-debout toutes les 2 heures), position accroupie ou à genoux, longs déplacements [max. 1000 mètres], déplacements sur sols irréguliers, travail en hauteur ou sur une échelle).</w:t>
      </w:r>
    </w:p>
    <w:p>
      <w:r>
        <w:t>Tribunal cantonal TC Page 9 de 17 Quant à l’OAI, se référant au rapport médical du Dr Q.________ du 25 février 2005, il estime que l’assuré est apte à travailler comme gérant dans un établissement, sans limitation particulière en dehors des ports de charges lourdes. Il l’a communiqué à l’assuré dans sa décision du 16 février 2006.</w:t>
      </w:r>
    </w:p>
    <w:p>
      <w:r>
        <w:rPr>
          <w:b/>
        </w:rPr>
        <w:t>E. 5.3</w:t>
      </w:r>
    </w:p>
    <w:p>
      <w:r>
        <w:t>Documents médicaux récoltés dans le cadre de la nouvelle demande En 2017, suite à des nouveaux problèmes à sa hanche gauche, augmentés de problèmes au niveau des deux épaules et de problèmes psychiques, l’assuré a déposé une deuxième demande de prestations auprès de l’assurance-invalidité, sollicitant une réadaptation ou une rente. Depuis le 20 avril 2017, il a un nouveau médecin traitant, le Dr R.________, spécialiste en médecine interne générale, lequel a attesté une incapacité de travail totale depuis cette date. Dans son rapport médical du 3 octobre 2017, le Dr S.________, spécialiste en chirurgie orthopédique, atteste que l’assuré présente un status après changement d’une prothèse totale à la hanche gauche (9 juin 2017) dont l’évolution est favorable mais marquée par la persistance de douleurs au niveau de la sacro-illiaque gauche et occasionnellement au pli de l’aine à gauche. Par ailleurs, il présente une déchirure de la coiffe des rotateurs des deux épaules, ayant bénéficié, le 15 septembre 2017, d’une suture de la coiffe des rotateurs à droite. Interrogé sur la question de savoir si l’assuré a rendu plausible une éventuelle modification de son état de santé avec effet sur sa capacité de travail depuis la décision du 16 février 2006, le Dr T.________, médecin au SMR mentionne, le 27 novembre 2017, que le status après changement de la prothèse de hanche gauche le 9 juin 2017 d’évolution favorable ne justifie pas de limitations fonctionnelles nouvelles et durables par rapport à ce qui avait été défini en 2005. En revanche, la déchirure de la coiffe des rotateurs des deux épaules et l’opération de l’épaule droite le 15 septembre 2017 (décompression sous-acromiale et suture du sus-épineux droit) sont des faits nouveaux modifiant les limitations fonctionnelles. Ainsi, une modification de l’état de santé avec effet sur la capacité de travail est avérée. Dans son rapport médical du 11 avril 2018, le Dr S.________, indique qu’il faut envisager un reclassement professionnel pour cet assuré en arrêt depuis bientôt une année. En effet, en raison de ses pathologies (problème à la hanche gauche et aux épaules), il ne pourra plus reprendre son activité professionnelle de pizzaiolo. Il est nécessaire de le reclasser dans une activité plus sédentaire, avec petite manipulation possible, un port de charges limité à 10 kg, un travail qui ne doit pas se faire au-dessus de l’horizontale. Dans son rapport médical du 30 mai 2018, la Dre U.________, médecin cheffe de clinique à M.________, explique que la symptomatologie principale de l’assuré est située au niveau musculo- ostéoarticulaire de la ceinture scapulaire et pelvienne, avec une limitation importante et un handicap à 100%. Sa situation sociale et familiale est très précaire car il dépend du service de l’aide sociale et toute cette problématique d’ordre somatique a un impact considérable sur son état psychique, avec une baisse importante de la thymie, parfois des idées suicidaires, des sentiments d’injustice et de culpabilité car il dit qu’à cause de lui sa famille est dans un état économique et social très difficile n’arrivant pas à vivre dignement. Présence d’une diminution de l’élan vital, irritabilité, anxiété par anticipation, troubles du sommeil à savoir difficultés à l’endormissement et réveils nocturnes. Elle pose les diagnostics suivants ayant une incidence sur la capacité de travail : trouble dépressif récurrent, épisode actuel moyen, avec syndrome somatique (F33.01), autres troubles spécifiques</w:t>
      </w:r>
    </w:p>
    <w:p>
      <w:r>
        <w:t>Tribunal cantonal TC Page 10 de 17 de la personnalité (F60.8), autres difficultés liées à l’entourage immédiat, y compris la situation familiale (Z63), et difficultés liées à une enfance malheureuse (Z61). Elle en conclut qu’au niveau somatique, l’assuré est très affecté par son état somatique actuel, ayant un impact sur son état émotionnel. Au niveau psychique, dans l’état actuel, la Dre U.________ indique que son patient ne peut exercer aucune activité professionnelle. Au sujet des limitations fonctionnelles et de leurs effets sur l’activité que le patient a exercée jusqu’à aujourd’hui, ce médecin précise ne pas être en mesure de répondre à cette question. Dans son rapport médical du 5 juillet 2018, le Dr S.________, précise qu’il n’arrive pas à se prononcer pour l’heure sur le potentiel de réadaptation notamment car il faut réopérer l’épaule gauche en raison d’une rupture de la coiffe des rotateurs. Dans son rapport du 7 décembre 2018, la Dre U.________, précise que le syndrome algique de son patient est tellement permanent et insupportable, selon ses dires, qu’il a un impact important sur la sphère émotionnelle avec aboulie, asthénie et diminution sévère de l’élan vital. Les ruminations également en permanence n’aident pas le patient du point de vue financier et social, ce dernier s’isolant de plus en plus. Il est également épuisé, car il a en permanence des troubles du sommeil, en raison du syndrome algique qui le réveille la nuit. Elle considère que plus aucune activité professionnelle n’est possible. Dans son rapport du 16 mai 2019, la Dre V.________, médecin cheffe de clinique adjointe à M.________, ne note aucune amélioration au niveau psychique depuis le début de la prise en charge le 12 mars 2018. Elle décrit que la sociabilité est nettement diminuée, avec une collaboration plutôt méfiante, réticente et dans l’opposition ce qui est une indication pour un trouble de la personnalité. Elle relève des troubles de la mémoire, avec trouble de l’évocation et la fixation ainsi qu’une attention et une concentration diminuées. Elle mentionne une pensée ruminative, avec obsessions et anxiété importantes. Il présente un fort sentiment de persécution lié à sa situation sociale. Par moments, elle note une grande agitation intérieure, une irritabilité, un sentiment d’insuffisance et une dysphorie. Il montre peu de capacité d’analyse et de prise de distance par rapport à son vécu et à sa situation personnelle, un fort sentiment d’injustice sous-tend toute cette situation. Elle pose les diagnostics suivants ayant une incidence sur la capacité de travail : trouble dépressif récurrent, épisode actuel moyen, avec syndrome somatique (F33.01) et trouble mixte de la personnalité, avec traits anxieux, dépendants, histrioniques, ainsi que des traits associés à une personnalité passive/agressive. Pour elle, le pronostic est défavorable. Les difficultés psychiques impactent directement la capacité de l’assuré à travailler, il ne semble plus être en mesure de pouvoir travailler dans un environnement stressant ou un environnement avec beaucoup d’exigences. Elle estime également que le patient a peu de ressources, un réseau social passablement pauvre et il n’a que peu d’occupations ou de loisirs. Il semble difficile de pouvoir le réinsérer dans l’économie libre. Les facteurs qui font obstacle à une réadaptation sont la grande irritabilité au niveau de l’humeur, la diminution du dynamisme, la difficulté à prendre de la distance par rapport à sa situation et sa faible capacité introspective. Le grand évitement, le sentiment d’impuissance, de malaise et d’injustice, par moments une tendance à la dramatisation et des périodes à caractère méfiant impactent la façon de l’assuré d’être en lien avec les autres et par conséquent d’être dans un environnement professionnel. L’assuré prend du Cymbalta, 90 mg par jour. Appelé à se déterminer, le Dr T.________, médecin SMR, indique, dans son rapport médical du 24 mai 2019, que cet assuré a présenté successivement une atteinte à la hanche gauche et des deux épaules, opérées à plusieurs reprises. Il se réfère à son rapport du 27 novembre 2017 pour</w:t>
      </w:r>
    </w:p>
    <w:p>
      <w:r>
        <w:t>Tribunal cantonal TC Page 11 de 17 répéter que son activité habituelle n’est plus médicalement exigible. Il mentionne que, depuis novembre 2018, l’orthopédiste préconise des mesures de réadaptation professionnelle, ce qui lui fait dire que ces mesures sont médicalement possibles depuis 6 mois. Il indique qu’en réaction aux difficultés financières et psycho-sociale engendrées par l’arrêt de travail prolongé, l’assuré présente un état dépressif. Le Dr T.________ conclut que l’évolution de la situation médicale n’est plus clairement documentée et actualisée, ni sur le plan orthopédique, ni sur le plan psychiatrique et que l’exigibilité médico-théorique dans une activité adaptée n’est actuellement pas définie par les pièces médicales du dossier. L’OAI a estimé nécessaire que l’assuré se soumette à une expertise bi-disciplinaire en psychiatrie et en orthopédie afin de pouvoir fixer la capacité médico-théorique. Il a confié cette expertise à J.________, à K.________. Elle a eu lieu le 16 septembre et le 17 septembre 2019. Le Dr W.________, spécialiste en chirurgie orthopédique, a posé les diagnostics suivants ayant une répercussion sur la capacité de travail : coxarthrose gauche, status après arthroplastie totale de la hanche gauche de type resurfaçage en 2004, status après ténotomie d’allongement du tendon iliopsoas gauche par voie arthroscopique en 2007, status après changement d’implant et prothèse totale de la hanche gauche en 2017, status après rupture du tendon du sus-épineux à l’épaule droite, status après décompression sous-acromiale et suture du tendon sus-épineux de l’épaule droite, le</w:t>
      </w:r>
    </w:p>
    <w:p>
      <w:r>
        <w:rPr>
          <w:b/>
        </w:rPr>
        <w:t>E. 9</w:t>
      </w:r>
    </w:p>
    <w:p>
      <w:r>
        <w:t>Assistance judiciaire Des frais de justice sont fixés à CHF 800.- et mis à la charge du recourant, qui succombe. Ils ne lui seront toutefois pas réclamés, compte tenu de ce qui suit : Le recourant a demandé à être mis au bénéfice de l’assistance judiciaire, et celle-ci peut lui être octroyée, dans la mesure où le concerné est bénéficiaire de l’aide sociale et où l'on ne peut considérer que son recours était d’emblée dénué de toute chance de succès. Le mandataire ainsi désigné, Me Benoît Sansonnens a remis sa liste de frais le 18 août 2021. Le montant demandé peut être considéré comme raisonnable au vu du travail fourni, le tarif a cependant été corrigé (CHF 180.- de l’heure au lieu de CHF 250.- de l’heure) pour tenir compte du fait qu’il s’agit du tarif de l’assistance judiciaire. Le mandataire désigné perçoit ainsi un montant total de CHF 1'373.40 (408 minutes de travail indemnisées au tarif horaire de CHF 180.- applicable à l’assistance judiciaire + frais par CHF 51.20 + TVA 7.7% par CHF 98.20). Celle-ci est mise intégralement à la charge de l'Etat de Fribourg. (dispositif en page suivante)</w:t>
      </w:r>
    </w:p>
    <w:p>
      <w:r>
        <w:t>Tribunal cantonal TC Page 17 de 17 la Cour arrête : I. Le recours (605 2020 161) est rejeté. II. La requête d’assistance judiciaire totale (605 2020 162) est admise. Me Benoît Sansonnens est désigné défenseur d’office. III. Des frais de justice sont mis à la charge du recourant qui succombe, par CHF 800.-. Compte tenu de l’assistance judiciaire, ils ne sont toutefois pas perçus. IV. Une indemnité de CHF 1’373.40 (TVA de CHF 98.20 comprise) est allouée au défenseur d’office. Elle est mise à la charge de l’Etat.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septembre 2021/mfa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