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155 vom 8. Juli 2021</w:t>
      </w:r>
    </w:p>
    <w:p>
      <w:r>
        <w:t>FR Kantonsgericht, 2021-07-08, FR</w:t>
      </w:r>
    </w:p>
    <w:p>
      <w:r>
        <w:rPr>
          <w:b/>
        </w:rPr>
        <w:t xml:space="preserve">Quelle: </w:t>
      </w:r>
      <w:r>
        <w:t>https://mcp.opencaselaw.ch/entscheid/fr_gerichte_605_2020_155</w:t>
      </w:r>
    </w:p>
    <w:p>
      <w:r>
        <w:t>FR: FR_GERICHTE 605 2020 155 du 8 juillet 2021</w:t>
      </w:r>
    </w:p>
    <w:p>
      <w:r>
        <w:t>IT: FR_GERICHTE 605 2020 155 del 8 luglio 2021</w:t>
      </w:r>
    </w:p>
    <w:p>
      <w:pPr>
        <w:pStyle w:val="Heading2"/>
      </w:pPr>
      <w:r>
        <w:t>Regeste</w:t>
      </w:r>
    </w:p>
    <w:p>
      <w:r>
        <w:t>Arrêt de la Ie Cour des assurances sociales du Tribunal cantonal | Unfallversicherung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2.1</w:t>
      </w:r>
    </w:p>
    <w:p>
      <w:r>
        <w:t>Selon l'art. 24 al. 1 de la loi du 20 mars 1981 sur l'assurance-accidents (LAA; RS 832.20),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w:t>
      </w:r>
    </w:p>
    <w:p>
      <w:r>
        <w:rPr>
          <w:b/>
        </w:rPr>
        <w:t>E. 2.2</w:t>
      </w:r>
    </w:p>
    <w:p>
      <w:r>
        <w:t>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citées).</w:t>
      </w:r>
    </w:p>
    <w:p>
      <w:r>
        <w:rPr>
          <w:b/>
        </w:rPr>
        <w:t>E. 2.3</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l'assurance- accidents obligatoire in Schweizerisches Bundesverwaltungsrecht (SBVR), 2ème éd., 2007, n.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w:t>
      </w:r>
    </w:p>
    <w:p>
      <w:r>
        <w:t>Tribunal cantonal TC Page 4 de 8</w:t>
      </w:r>
    </w:p>
    <w:p>
      <w:r>
        <w:rPr>
          <w:b/>
        </w:rPr>
        <w:t>E. 2.4</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phalange du pouce ou d’au moins deux phalanges d’un autre doigt" est de 5%. 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TF 8C_459/2008 du 4 février 2009; ATF 124 V 209 consid. 4a/cc, 116 V 156 consid. 3a; RAMA 1998 p. 235, U 245/96 consid. 2a).</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w:t>
      </w:r>
    </w:p>
    <w:p>
      <w:r>
        <w:t>Tribunal cantonal TC Page 5 de 8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rPr>
          <w:b/>
        </w:rPr>
        <w:t>E. 4</w:t>
      </w:r>
    </w:p>
    <w:p>
      <w:r>
        <w:t>En l'occurrence, l'assuré conteste l'évaluation de l'indemnité pour atteinte à l'intégrité, en particulier le taux de 5% retenu dans la décision litigieuse.</w:t>
      </w:r>
    </w:p>
    <w:p>
      <w:r>
        <w:rPr>
          <w:b/>
        </w:rPr>
        <w:t>E. 4.1</w:t>
      </w:r>
    </w:p>
    <w:p>
      <w:r>
        <w:t>Ce taux est fondé sur l'évaluation du Dr D.________ et de la Dre E.________, tous deux spécialistes en chirurgie orthopédique et traumatologie. Dans son rapport du 10 mars 2020, le premier retient que le recourant a subi un écrasement au niveau de l'index gauche. Il constate que les suites ont été une amputation de la phalange distale de l'index le 23 septembre 2017 et une révision du moignon le 17 décembre 2018, "mit Resektion einer Knochenschuppe ulnar, Exzision eines Neuroms des ulnaren Kollateralnervs sowie Tenolyse des Flexor digitorum superficialis". Sur cette base, il estime le taux d'IPAI à 5%, se référant au tableau 3, position 6 des tables de la SUVA. Il estime que ce taux n'a pas à être augmenté en raison des douleurs persistantes, des limitations fonctionnelles, de l'intolérance au froid et de l'altération de la sensibilité (dossier SUVA, pièce 127). Pour sa part, dans son rapport du 19 juin 2020, la seconde confirme l'appréciation de son prédécesseur, se référant à la même table complémentaire d'indemnisation. Elle précise que l'amputation a eu lieu à hauteur du condyle – soit à l'extrémité articulaire de l'os – de la 2ème phalange, de sorte que le raccourcissement doit être considéré comme mineur. Bien qu'amputé de sa troisième phalange, l'assuré demeure en mesure de faire une pince digitale (dossier SUVA, pièce 134). Les deux médecins se sont prononcés sur la base des pièces du dossier, lequel contient suffisamment d’appréciations médicales qui, elles, se fondent sur un examen personnel de l’assuré (RAMA 2001 n. U 438 p. 345; arrêt TF U 233/02 du 14 juin 2004 consid. 3.1). En particulier, les rapports d'opérations du 23 septembre 2017 et du 17 décembre 2018 ont permis aux deux</w:t>
      </w:r>
    </w:p>
    <w:p>
      <w:r>
        <w:t>Tribunal cantonal TC Page 6 de 8 médecins d'arrondissement d'apprécier objectivement les interventions réalisées au niveau de l'index, la seconde n'ayant pas eu pour effet un raccourcissement plus notable de celui-ci (cf. dossier, pièces 26, 53 et 107). Pour leur part, les autres rapports font état des plaintes du patient, notamment s'agissant des douleurs, d'une diminution de la sensibilité et des restrictions dans le port des charges (cf. dossier, pièces 11, 28, 40, 46, 55, 79, 80, 81, 93, 100, 102, 103, 113 et 131). Les conclusions des médecins apparaissent également motivées de manières convaincante et suffisante, reposant tant sur les règles générales figurant dans l’annexe 3 OLAA que les tables complémentaires d'indemnisation des atteintes à l'intégrité selon la LAA. L'on précise, à cet égard, que, selon la table 3 (atteinte à l’intégrité résultant de la perte d’un ou plusieurs segments des membres supérieurs), la perte d'une phalange au niveau du pouce correspond à un taux d'atteinte de 5% de même que la perte de deux phalanges au niveau de l'index (positions 1 et 6). En revanche, la perte d'une phalange au niveau de l'index correspond à un taux de 0% et de trois phalanges à un taux de 6% (positions 5 et 7). Enfin, l'on constate que c'est à juste titre que les deux médecins établissent leur appréciation sur les facteurs médicaux objectifs, valables pour tous les assurés, et sans égard à des considérations d'ordre subjectif ou personnel. En l'occurrence, cela implique d'écarter l'incidence des douleurs persistantes, des limitations fonctionnelles, de l'intolérance au froid et de l'altération de la sensibilité dont se plaint le recourant. Partant, ces rapports doivent se voir reconnaître une pleine valeur probante.</w:t>
      </w:r>
    </w:p>
    <w:p>
      <w:r>
        <w:rPr>
          <w:b/>
        </w:rPr>
        <w:t>E. 4.2</w:t>
      </w:r>
    </w:p>
    <w:p>
      <w:r>
        <w:t>Le recourant s'oppose à cette appréciation, se référant essentiellement à celle du Dr F.________ spécialiste en chirurgie orthopédique et traumatologie de l'appareil locomoteur. Dans son rapport du 30 avril 2020, ce médecin estime que l'atteinte à l'intégrité est d'au moins 25%. Il indique notamment ce qui suit: "[la table de la SUVA] n'a clairement pas tenu compte de l'importance de la perte de fonction et s'est contenté de donner un pourcentage équivalent à la perte partielle d'un doigt. [Or,] clairement[,] une amputation à la hauteur de la 2e phalange de l'index correspond à une perte de fonction équivalente à 100 % de ce doigt et au vu de l'importance du 2e rayon dans l'utilisation de la main, notamment, dans les travaux de force la perte de l'index entraîne une perte de fonction de la main au même titre qu'une amputation partielle ou totale du pouce et donc il faut considérer une perte de fonction non seulement du doigt mais également de la main et celle-ci devrait être considérée à 25 %. Différentes études ont démontré l'importance de l'index dans la force et la dextérité et il s'agit d'un doigt clairement plus important que la perte d'un 5ème rayon par exemple. Dès lors, je pense que l'atteinte à l'intégrité physique doit clairement être revu et considérer la perte de fonction de la main également dans le calcul du pourcentage" (dossier SUVA, pièce 131). Force est de constater que, contrairement aux médecins d'arrondissement, le Dr F.________ fonde son appréciation de manière non négligeable sur les allégations douloureuses de son patient. Il prend également en compte les conséquences de l'atteinte, notamment une "importante perte de force", "une importante difficulté à effectuer les gestes simples de la vie quotidienne" et une "perte fonctionnelle [...] clairement objectivée". Ces éléments auraient dû être écartés de l'évaluation de l'IPAI. En effet, l'on doit rappeler que cette indemnité ne sert pas à réparer les conséquences économiques de l'atteinte, lesquelles sont indemnisées au moyen d'une rente d'invalidité (cf. consid. 2.2 ci-avant).</w:t>
      </w:r>
    </w:p>
    <w:p>
      <w:r>
        <w:t>Tribunal cantonal TC Page 7 de 8 L'appréciation du médecin s'écarte par ailleurs des règles générales figurant dans l’annexe 3 OLAA. En effet, selon ces règles, le pourcentage de 25% est supérieur à celui retenu pour la perte totale d’un pouce (20%), d'un rein (20%), de l’odorat (15%) et du goût (15%). Il équivaut à une "grave atteinte à la capacité de mastiquer" (25%). Il est manifeste pourtant que l'amputation de la dernière phalange de l'index correspond à une atteinte bien moins importante, quand bien même l'on ne peut contester son caractère handicapant au quotidien. Au vu de ce qui précède, il convient d'écarter l'appréciation du Dr F.________ dont le rapport n'est pas concluant et ne parvient pas à mettre en doute les conclusions du Dr D.________ et de la Dre E.________.</w:t>
      </w:r>
    </w:p>
    <w:p>
      <w:r>
        <w:rPr>
          <w:b/>
        </w:rPr>
        <w:t>E. 4.3</w:t>
      </w:r>
    </w:p>
    <w:p>
      <w:r>
        <w:t>Enfin, l'on constate que les autres rapports versés au dossier n'examinent pour leur part pas la problématique de l'atteinte à l'intégrité. En particulier, le Dr G.________, spécialiste en médecine interne générale, renvoie à l'appréciation de l'orthopédiste que consultait alors l'assuré, à savoir la Dre H.________, cheffe de clinique adjointe au sein du service de chirurgie plastique et de la main de I.________ (rapport du 21 mars 2020, dossier OAI, p. 131; cf. ég. p. 55, 79 et 93). Cette dernière constate que son patient souffre de limitations fonctionnelles et de douleurs persistantes depuis son accident. Néanmoins, ainsi que précédemment souligné, ces facteurs ne remettent pas en cause l'appréciation de l'atteinte à l'intégrité par les médecins d'arrondissement, étant précisé qu'une amélioration est relevée suite à l'intervention de décembre 2019 (rapport du 13 février 2020, dossier OAI, p. 113; cf. ég. p. 20, 26, 28, 40, 53, 80, 81, 100, 103 et 107).</w:t>
      </w:r>
    </w:p>
    <w:p>
      <w:r>
        <w:rPr>
          <w:b/>
        </w:rPr>
        <w:t>E. 4.4</w:t>
      </w:r>
    </w:p>
    <w:p>
      <w:r>
        <w:t>Il ressort de l'ensemble de ce qui précède que l'indemnité pour atteinte à l'intégrité doit être fondée sur un taux de 5%, le calcul du montant correspondant, soit CHF 7'410.-, n'étant au demeurant pas remis en cause. Partant, le recours, entièrement mal fondé, doit être rejeté et la décision sur opposition du 22 juin 2020 confirmée. Compte tenu du rejet du recours, il n'est pas octroyé d'indemnité de partie. L'arrêt est rendu sans frais de procédure compte tenu du principe de gratuité ici applicable, dès lors que le recours conclut à l’octroi de prestations. (dispositif en page suivante)</w:t>
      </w:r>
    </w:p>
    <w:p>
      <w:r>
        <w:t>Tribunal cantonal TC Page 8 de 8 la Cour arrête : I. Le recours est rejeté. II. Il n'est pas perçu de frais de procédure.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