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116 vom 5. März 2021</w:t>
      </w:r>
    </w:p>
    <w:p>
      <w:r>
        <w:t>FR Kantonsgericht, 2021-03-05, FR</w:t>
      </w:r>
    </w:p>
    <w:p>
      <w:r>
        <w:rPr>
          <w:b/>
        </w:rPr>
        <w:t xml:space="preserve">Quelle: </w:t>
      </w:r>
      <w:r>
        <w:t>https://mcp.opencaselaw.ch/entscheid/fr_gerichte_605_2020_116</w:t>
      </w:r>
    </w:p>
    <w:p>
      <w:r>
        <w:t>FR: FR_GERICHTE 605 2020 116 du 5 mars 2021</w:t>
      </w:r>
    </w:p>
    <w:p>
      <w:r>
        <w:t>IT: FR_GERICHTE 605 2020 116 del 5 marzo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recourant est sous curatelle de représentation et de gestion de patrimoine depuis 2017 (dossier OAI, p. 104 et 316). Dans la mesure où la curatelle de représentation a été prononcée en sa faveur sans être accompagnée d’une limitation de l’exercice de ses droits civils pour le règlement de ses affaires administratives, on doit lui reconnaitre la capacité d'agir en procédure au sens de l'art. 12 du code fribourgeois du 23 mai 1991 de procédure et de juridiction administrative (CPJA; RSF 150.1). Pour le reste, interjeté en temps utile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w:t>
      </w:r>
    </w:p>
    <w:p>
      <w:r>
        <w:rPr>
          <w:b/>
        </w:rPr>
        <w:t>E. 2.1</w:t>
      </w:r>
    </w:p>
    <w:p>
      <w:r>
        <w:t>Aux termes de l'art. 8 al. 1 LPGA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w:t>
      </w:r>
    </w:p>
    <w:p>
      <w:r>
        <w:rPr>
          <w:b/>
        </w:rPr>
        <w:t>E. 2.2</w:t>
      </w:r>
    </w:p>
    <w:p>
      <w:r>
        <w:t>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w:t>
      </w:r>
    </w:p>
    <w:p>
      <w:r>
        <w:rPr>
          <w:b/>
        </w:rPr>
        <w:t>E. 2.3</w:t>
      </w:r>
    </w:p>
    <w:p>
      <w:r>
        <w:t>Pour satisfaire à l'obligation de réduire le dommage, l'assuré doit, conformément à l'art. 7 al. 1 LAI, entreprendre tout ce qui peut être raisonnablement exigé de lui pour réduire la durée et</w:t>
      </w:r>
    </w:p>
    <w:p>
      <w:r>
        <w:t>Tribunal cantonal TC Page 4 de 10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3.1</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3 LAI, les mesures de réadaptation comprennent – entre autres mesures – celles de réinsertion préparant à la réadaptation professionnelle (let. abis) et celles d'ordre professionnel (let. b). En vertu de l'art. 14a al. 1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œuvre de mesures d'ordre professionnel. En matière de réadaptation, on distingue notamment la formation professionnelle initiale (art. 16 LAI) des mesures de reclassement (art. 17 LAI).</w:t>
      </w:r>
    </w:p>
    <w:p>
      <w:r>
        <w:rPr>
          <w:b/>
        </w:rPr>
        <w:t>E. 3.2</w:t>
      </w:r>
    </w:p>
    <w:p>
      <w:r>
        <w:t>L’art. 17 al. 1 LAI énonce qu’un 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Par reclassement, la jurisprudence entend l'ensemble des mesures de réadaptation de nature professionnelle qui sont nécessaires et suffisantes pour procurer à la personne assurée une</w:t>
      </w:r>
    </w:p>
    <w:p>
      <w:r>
        <w:t>Tribunal cantonal TC Page 5 de 10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 reclassement ne peut pas être interrompu prématurément tant que le but visé de réinsertion peut encore être atteint moyennant le respect de proportionnalité (arrêt TF 9C_81/2013 du 3 juillet 2013 consid. 6).</w:t>
      </w:r>
    </w:p>
    <w:p>
      <w:r>
        <w:rPr>
          <w:b/>
        </w:rPr>
        <w:t>E. 3.3</w:t>
      </w:r>
    </w:p>
    <w:p>
      <w:r>
        <w:t>Selon l'art. 18 al. 1 LAI, l'assuré présentant une incapacité de travail (art. 6 LPGA) et susceptible d'être réadapté a droit à un soutien actif dans la recherche d'un emploi approprié (let. a) et à un conseil suivi afin de conserver un emploi (let. b). La notion de placement recouvre, à titre de prestations d’assurance, le soutien actif de l’assuré dans sa recherche d’un emploi, les mesures destinées au maintien du poste de travail, les conseils dispensés à l’employeur, l’indemnité en cas d’augmentation des cotisations, et l’allocation d’initiation au travail (Circulaire sur les mesures de réadaptation d’ordre professionnel [CMRP] édictée par l'OFAS, n. 5001). Depuis le 1er janvier 2012, la notion de placement comprend également le placement à l’essai, régie par l’art. 18a LAI. Aux termes de cette disposition,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Le placement à l’essai permet de placer l’assuré, pendant une période donnée, au sein d’une entreprise du marché primaire de l’emploi afin de tester sa capacité de travail. L’objectif du placement à l’essai est d’apprécier au mieux, sur le marché primaire de l’emploi, la capacité de travail de l’assuré dans une activité tenant compte des limitations dues à son état de santé. Cette mesure s’adresse aux assurés aptes à la réadaptation dont les capacités sont réduites pour raison de santé. Elle peut être octroyée que l’assuré touche ou non une rente. Le placement à l’essai s’inscrit dans un processus global de réadaptation (au moins partielle) sur le marché primaire de l’emploi. S’il débouche sur un contrat de travail, une allocation d’initiation au travail peut alors être octroyée à l’entreprise (CMRP, n. 5017ss).</w:t>
      </w:r>
    </w:p>
    <w:p>
      <w:r>
        <w:rPr>
          <w:b/>
        </w:rPr>
        <w:t>E. 4</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w:t>
      </w:r>
    </w:p>
    <w:p>
      <w:r>
        <w:t>Tribunal cantonal TC Page 6 de 10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5</w:t>
      </w:r>
    </w:p>
    <w:p>
      <w:r>
        <w:t>Le recourant présente sa situation comme suit: "actuellement la situation est que les quelques mesures professionnelles non qualifiantes et ne donnant pas de perspectives pour une nouvelle orientation professionnelle n'ont eu aucun effet sur une possibilité d'engagement ou de reconversion professionnelle. Je suis au même stade qu'au début de mon dépôt de demande de rente, mais ces mesures ont eu comme résultat d'exclure tout droit à une rente de l'assurance-invalidité. […] Ces mesures ne m'ont pas donné l'opportunité de me former dans un autre domaine d'activité où j'aurais pu retrouver un travail adapté et de vraies perspectives […] Je n'ai aucun soutient de l'AIIV [OAI] pour soit des propositions à un nouveau travail adapté […] J'aimerais que mon recours à vos services puisse donner à l'AIIV une nouvelle évaluation […], en me laissant comme une personne qui n'a plus aucun intérêt à être encore dans le marché du travail". On déduit de ses explications que le litige porte sur le droit du recourant à des prestations de l'assurance-invalidité, en particulier une mesure de réadaptation d'ordre professionnel ou une rente d'invalidité. En effet, il affirme que, à tout le moins sans mesure de reclassement, il n’est pas en mesure de concrétiser la capacité de travail estimée par les experts, car il ne parvient pas à trouver un emploi. La mesure de réadaptation primant la rente (art. 28 al. 1 let. a LAI), il convient d'analyser en premier lieu le droit du recourant à une telle mesure. Pour cela, il s’agit d’examiner si et dans quelle mesure il est invalide, ce qui suppose d’évaluer sa capacité de travail, respectivement sa capacité de gain, en tenant compte de ses atteintes à la santé.</w:t>
      </w:r>
    </w:p>
    <w:p>
      <w:r>
        <w:rPr>
          <w:b/>
        </w:rPr>
        <w:t>E. 5.1</w:t>
      </w:r>
    </w:p>
    <w:p>
      <w:r>
        <w:t>Sur la base des conclusions de l'expertise pluridisciplinaire, l'OAI a pour sa part retenu que le recourant est capable de travailler dans une activité adaptée et de réaliser un revenu d'invalide de CHF 63'717.05 en se fondant sur l'Enquête suisse sur la structure des salaires de 2016 (ci-après: ESS 2016). En comparant ce revenu avec le revenu de valide (CHF 55'739.30), il n'y a aucune perte de gain, ce qui a conduit l'OAI à retenir un degré d'invalidité de 0%.</w:t>
      </w:r>
    </w:p>
    <w:p>
      <w:r>
        <w:rPr>
          <w:b/>
        </w:rPr>
        <w:t>E. 5.2</w:t>
      </w:r>
    </w:p>
    <w:p>
      <w:r>
        <w:t>Il y a lieu d'examiner la capacité de travail retenue par l'expertise pluridisciplinaire. Celle-ci a été confiée à E.________ SA et plus particulièrement au Dr F.________, spécialisé en rhumatologie, à la Dre G.________, spécialisée en médecine interne générale et à la Dre H.________, spécialiste en psychiatrie et psychothérapie.</w:t>
      </w:r>
    </w:p>
    <w:p>
      <w:r>
        <w:rPr>
          <w:b/>
        </w:rPr>
        <w:t>E. 5.2.1</w:t>
      </w:r>
    </w:p>
    <w:p>
      <w:r>
        <w:t>Le recourant a pu faire état de ses difficultés aux experts. Il a notamment relaté ses limitations depuis 5 à 6 ans pour le port de charges, du fait qu'il peut rester en position debout au maximum</w:t>
      </w:r>
    </w:p>
    <w:p>
      <w:r>
        <w:rPr>
          <w:b/>
        </w:rPr>
        <w:t>E. 5.2.2</w:t>
      </w:r>
    </w:p>
    <w:p>
      <w:r>
        <w:t>Dans leur rapport du 13 février 2020 (dossier OAI p. 465 ss), les experts parviennent aux constats et conclusions suivants: - L'expert en médecine interne relève notamment un syndrome obstructif léger nécessitant une spirométrie complète, une obésité de stade 1 avec déconditionnement physique très probablement responsable de l'essoufflement à l'effort, une polyneuropathie des membres inférieurs de stade 1 non incapacitant, n'entravant pas la marche, des céphalées assimilées à des migraines pouvant engendrer une incapacité de travail non durable d'environ 3 à 4 jours, des vertiges pouvant également occasionner une incapacité de travail non durable de quelques jours, des brûlures épigastriques non incapacitantes et des œdèmes des membres inférieurs légers n'occasionnant pas de gêne lors de la marche ou la station debout. Il arrive à la conclusion qu'il n'y a pas de limitation fonctionnelle (dossier OAI, p. 484). - L’examen psychiatrique a notamment mis en lumière le fait que le recourant présente un trouble de Ia personnalité émotionnellement labile de type borderline, avec des relations interpersonnelles instables, intenses pouvant facilement passer de l‘idéalisation à Ia dévalorisation de l'autre. L'experte mentionne qu'il vit dans un centre spécialisé pour les personnes souffrant d'alcoolisme et autre dépendances, qu'il a été dépendant à l'alcool depuis son plus jeune âge mais qu'il est actuellement abstinent. Elle pose le diagnostic ayant une incidence sur la capacité de travail suivant: F60.31 Trouble de la personnalité émotionnellement Iabile de type borderline. Dans l'activité exercée habituellement, l'experte indique qu'il est entièrement incapable de travailler. Par contre, sa capacité de travail est entière dans une activité adaptée. L'experte en psychiatrie note la présence d'une baisse de l'estime de soi et de la confiance en soi, d'une dévalorisation de soi, d'un sentiment de culpabilité, de troubles du sommeil. Au niveau de la personnalité, elle reporte la présence d'une prudence excessive, d'une indécision, d'une préoccupation pour le détail, les règles, les inventaires, de perfectionnisme, d'une "scrupulosité" extrême, d'un discours recherché et une attitude excessivement conformiste (dossier OAI, p. 498). L'experte relate que "les mesures d'ordre professionnel en 2018-2019 ont été un échec, ce qui est partiellement expliqué par le trouble de la personnalité. Par contre, dans une activité adaptée, la personne assurée aurait dû être capable de suivre des mesures de réadaptation à 100%" (dossier OAI, p. 502). - L'examen en rhumatologie a permis de poser les diagnostics avec incidence sur la capacité de travail suivants : syndrome lombo-vertébral avec dysbalance musculaire; status post-tassement vertébral de L2 post-chute; status post-tendinopathie de l'épaule gauche. S'agissant de la capacité de travail en tant que boulanger-pâtissier, l'expert explique qu'elle est de 0% depuis une chute en 2012. Elle est toutefois de 100% en tant que gérant d'une pizzeria ou dans une autre activité adaptée. L'expert en rhumatologie écrit que le recourant se montre motivée à l'idée de reprendre une activité professionnelle, toutefois, dans un poste adapté avec éventuellement la possibilité d'effectuer une formation de maître socio-professionnel financée par l'AI si celle-ci accepte (dossier OAI, p. 520).</w:t>
      </w:r>
    </w:p>
    <w:p>
      <w:r>
        <w:t>Tribunal cantonal TC Page 8 de 10</w:t>
      </w:r>
    </w:p>
    <w:p>
      <w:r>
        <w:rPr>
          <w:b/>
        </w:rPr>
        <w:t>E. 5.2.3</w:t>
      </w:r>
    </w:p>
    <w:p>
      <w:r>
        <w:t>D'un point de vue interdisciplinaire, les experts résument ainsi la capacité de travail du recourant: dans son activité antérieure, elle est de 0% alors que dans une activité adaptée, en respectant le profil d'effort, elle est de 100%. L'expert en psychiatrie expose ce profil d'effort: "la personne assurée est capable d'effectuer un travail sans exposition au stress avec des horaires réguliers, pas de travail de nuit, un contact avec une hiérarchie soutenante, Ia relation avec les collègues doit être bien définie. Le contact avec le public est déconseillé. Pas de responsabilité. Pas d’exposition directe à des boissons alcooliques". Sous l'angle de la rhumatologie, le profil d'effort retenu par l'expert est le suivant: "Ia personne assurée est capable d'effectuer un travail en alternant les différentes positions assis, debout et marche, de porter jusqu’à 10 kg. Il faut éviter une activité dans une position à genoux ou accroupie et toute activité qui demande une sécurité augmentée sur des échafaudages ou des échelles, et avec une posture forcée et qui surcharge le rachis ainsi que les mouvements de torsion du tronc et un travail les bras en l’air". Enfin, d'un point de vue de la médecine interne, il n'y a pas de limitation fonctionnelle (dossier OAI, p. 470 s.)</w:t>
      </w:r>
    </w:p>
    <w:p>
      <w:r>
        <w:rPr>
          <w:b/>
        </w:rPr>
        <w:t>E. 5.3</w:t>
      </w:r>
    </w:p>
    <w:p>
      <w:r>
        <w:t>Amenée à statuer sur la capacité de travail, la Cour de céans observe ce qui suit: Le rapport du centre d’expertise est fondé sur le dossier assécurologique transmis aux experts, les examens cliniques et les entretiens avec le recourant; ceux-ci ont eu lieu les 18 et 21 novembre 2019 d’une durée de 1 heure et 5 minutes pour le volet rhumatologique, de 1 heure et 15 minutes pour la médecine interne et de 55 minutes pour la psychiatrie. Après l'évaluation consensuelle, l'accord des experts a été formalisé le 30 janvier 2020. Les experts font une anamnèse médicale, sociale et administrative précise et détaillée. A l'occasion des différents entretiens avec les experts, le recourant a été en mesure d'expliquer ses troubles et leurs incidences sur son quotidien, de décrire son historique professionnel, médical et familial et d'expliquer en particulier ses douleurs aux pieds (œdèmes et rétention d'eau), ses lombalgies chroniques principalement dues à une chute dans les escaliers en 2012, ses acouphènes, son addiction à l'alcool, ses relations avec ses proches et voisins, le déroulement de ses journées, ses procédures judiciaires, son état psychique. Les appréciations médicales sont claires et les conclusions des experts sont dûment motivées. Dès lors que l'expertise est en tous points conforme aux conditions posées par la jurisprudence, elle a en soi pleine valeur probante sur le plan formel. Le recourant ne la conteste d’ailleurs pas directement. D'après les constats des experts qui ont pleinement pris en compte les plaintes et déclarations du recourant, celui-ci a certes des limitations fonctionnelles mais, dans l'ensemble, il faut reconnaitre qu'il est effectivement capable de pratiquer un nombre certain d'activités lucratives diverses. A la lecture de l'expertise, on décèle d'ailleurs à plusieurs reprises sa motivation à travailler. Certes, le métier pour lequel il a été formé (boulanger-pâtissier) n'est plus envisageable à cause des limitations fonctionnelles et la gestion d'une pizzeria semble contre-indiquée car elle ne correspond pas au profil d'effort d'un point de vue psychiatrique. Toutefois, il reste un bon nombre d'activités en tout genre tenant compte de ses atteintes et ne nécessitant pas de formation spécifique ou de reconversion professionnelle comme demandée par le recourant. On peut notamment citer la vente en station-service, la vente dans la restauration rapide, le travail à la chaîne dans l'industrie légère, la conciergerie et l'entretien, le nettoyage. Enfin, il peut également être noté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w:t>
      </w:r>
    </w:p>
    <w:p>
      <w:r>
        <w:t>Tribunal cantonal TC Page 9 de 10 un éventail d'emplois diversifiés, tant au regard des sollicitations intellectuelles que physiques) d'autre part (ATF 110 V 273 consid. 4b p. 276). Le caractère irréaliste des possibilités de travail doit alors découler de l'atteinte à la santé - puisqu'une telle atteinte est indispensable à la reconnaissance de l'invalidité (art. 7 et 8 LPGA) - et non de facteurs psychosociaux ou socioculturels qui sont étrangers à définition juridique de l'invalidité (arrêt TF 9C_286/2015 du 12 janvier 2016 consid. 4.2 et les références; arrêt TC FR 608 2015 234 du 20 janvier 2016 consid. 2c). Il faut rappeler que les atteintes à la santé, en particulier au dos, invoquées dans le recours ont été constatées et prises en considération par les experts sans pour autant qu'ils ne retiennent une capacité médico-théorique diminuée. Le fait qu'il doive prendre une médication importante pour ses douleurs dorsales ne permet pas non plus d'établir qu'il ne peut pas travailler. La capacité de gain du recourant est donc en soi entière dans une activité adaptée au profil d'effort constaté par les experts, de telle sorte que ses atteintes à la santé n’hypothèquent pas en elles-mêmes ses chances concrètes et réalisables de trouver un travail adapté. Il en résulte que la capacité de travail totale du recourant dans une activité adaptée à ses limitations doit être confirmée.</w:t>
      </w:r>
    </w:p>
    <w:p>
      <w:r>
        <w:rPr>
          <w:b/>
        </w:rPr>
        <w:t>E. 5.4</w:t>
      </w:r>
    </w:p>
    <w:p>
      <w:r>
        <w:t>Il convient encore de vérifier le calcul du taux d'invalidité. Les données relatives au salaire de valide ne sont pas remises en cause par les parties et peuvent donc être reprises, soit un revenu de CHF 55'739.30, correspondant à celui qu'il aurait perçu en 2013 indexé à 1.9% selon l'indice des salaires nominaux de la branche s'il avait poursuivi son activité de gérant de sa propre pizzeria. S'agissant du revenu d'invalide, le recourant ne conteste pas l'utilisation par l'OAI de "L’enquête suisse sur la structure des salaires 2016" (tableau TA 1_tirage_skill_level, total des salaires, niv. 1, hommes) aboutissant à un revenu mensuel d'invalide de CHF 63'717.05 après corrections usuelles du nombre d'heures de travail hebdomadaires (41.7 heures au lieu de 40 heures) et indexation (0.4%) ainsi qu'une réduction de 5% à titre de désavantage salarial pour tenir compte des limitations fonctionnelles. Le revenu d'invalide retenu par l'OAI - également non contesté - ne prête pas le flanc à la critique.</w:t>
      </w:r>
    </w:p>
    <w:p>
      <w:r>
        <w:rPr>
          <w:b/>
        </w:rPr>
        <w:t>E. 5.5</w:t>
      </w:r>
    </w:p>
    <w:p>
      <w:r>
        <w:t>Au vu de ce qui précède, la Cour constate que le degré d'invalidité de 0% retenu par l'OAI est justifié puisque le revenu d'invalide que pourrait réaliser le recourant est plus élevé que le revenu de valide. Un tel taux n'ouvre pas le droit à des mesures de réadaptation tel qu'un reclassement, un placement ou des mesures de réinsertion. Il n’appartient donc pas à l'OAI de faire au recourant "des propositions à (sic) un nouveau travail adapté", comme il le revendique. 6. S'agissant de l'octroi d'une rente d'invalidité, il a été démontré dans les considérants précédents que l'expertise retenant une capacité de travail médico-théorique entière dans une activité adaptée était probante et que le calcul du degré d'invalidité fondé sur la comparaison des revenus avec et sans invalidité était correct. Il est rappelé à cet égard que le degré d'invalidité doit être de 40% au moins pour que l'assuré ait droit à une rente (art. 28 al. 1 LAI), ce qui n'est pas le cas en l'occurrence. C'est dès lors à bon droit que l'OAI n'a pas octroyé de rente.</w:t>
      </w:r>
    </w:p>
    <w:p>
      <w:r>
        <w:t>Tribunal cantonal TC Page 10 de 10 Cela revient aussi à considérer implicitement que l’état de santé du recourant n’a pas pu se péjorer depuis le premier refus de prestations prononcé à la fin de l’année 2006, au demeurant pour un manque de collaboration de sa part. 7. 7.1. Sur le vu de l'ensemble de ce qui précède, le recours est rejeté et la décision querellée confirmée. 7.2. Compte tenu de l’issue de la procédure de recours, les frais de justice devraient être mis intégralement à la charge du recourant. Toutefois, vu la nature du litige et sa situation financière difficile (il ne perçoit plus de revenu et depuis 2017 et vit de ses économies; dossier OAI, p. 384 et 513), il est renoncé au prélèvement de frais de procédure, en application de l’art. 129 let. a CPJA. 7.3. Le recourant n'étant pas représenté et ne demandant pas d'indemnité de partie, il n'y a pas non plus lieu d'allouer des dépens.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mars 2021/rte Le Président : Le Greffier :</w:t>
      </w:r>
    </w:p>
    <w:p>
      <w:r>
        <w:rPr>
          <w:b/>
        </w:rPr>
        <w:t>E. 10</w:t>
      </w:r>
    </w:p>
    <w:p>
      <w:r>
        <w:t>à 15 minutes (maximum) et que la station debout n'est supportée que durant deux heures (dossier</w:t>
      </w:r>
    </w:p>
    <w:p>
      <w:r>
        <w:t>Tribunal cantonal TC Page 7 de 10 OAI, p. 478). Il a précisé que les douleurs lombaires limitent sa capacité de travail. Il a également indiqué que son activité dans la pizzeria répondait à sa condition médicale d'une hernie discale - le plan de travail était élevé et le four aussi - mais qu'aujourd'hui il ne sait plus ce qu'il faudrait faire (dossier OAI, p. 495). Plus tard durant l'entretien avec l'expert, il a dit: "Si je trouve une activité adéquate pour moi, ce serait cool, sans stress" (dossier OAI, p. 497). Il a également mentionné à plusieurs reprises son souhait de faire une reconversion professionnelle pour devenir maître socio- professionnel (dossier OAI, p. 468, 513 et 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