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110 vom 24. Februar 2021</w:t>
      </w:r>
    </w:p>
    <w:p>
      <w:r>
        <w:t>FR Kantonsgericht, 2021-02-24, FR</w:t>
      </w:r>
    </w:p>
    <w:p>
      <w:r>
        <w:rPr>
          <w:b/>
        </w:rPr>
        <w:t xml:space="preserve">Quelle: </w:t>
      </w:r>
      <w:r>
        <w:t>https://mcp.opencaselaw.ch/entscheid/fr_gerichte_605_2020_110</w:t>
      </w:r>
    </w:p>
    <w:p>
      <w:r>
        <w:t>FR: FR_GERICHTE 605 2020 110 du 24 février 2021</w:t>
      </w:r>
    </w:p>
    <w:p>
      <w:r>
        <w:t>IT: FR_GERICHTE 605 2020 110 del 24 febbraio 2021</w:t>
      </w:r>
    </w:p>
    <w:p>
      <w:pPr>
        <w:pStyle w:val="Heading2"/>
      </w:pPr>
      <w:r>
        <w:t>Regeste</w:t>
      </w:r>
    </w:p>
    <w:p>
      <w:r>
        <w:t>Arrêt de la Ie Cour des assurances sociales du Tribunal cantonal | Unfallversicherung</w:t>
      </w:r>
    </w:p>
    <w:p>
      <w:pPr>
        <w:pStyle w:val="Heading2"/>
      </w:pPr>
      <w:r>
        <w:t>Erwägungen</w:t>
      </w:r>
    </w:p>
    <w:p>
      <w:r>
        <w:rPr>
          <w:b/>
        </w:rPr>
        <w:t>E. 19</w:t>
      </w:r>
    </w:p>
    <w:p>
      <w:r>
        <w:t>août et 6 septembre 2019 et des incapacités de travail subséquentes doit également être niée pour une autre raison. En effet, si l’existence d’un lien de causalité avait par hypothèse été établie au degré de la vraisemblance prépondérante entre la torsion survenue le 27 mai 2019 et les troubles du genou droit qui ont fait l’objet des opérations litigieuses, il aurait fallu constater que ceux-ci auraient été la conséquence d’un mouvement ordinaire du recourant consistant à déplacer l’une de ses jambes alors que ses pieds se trouvaient dans le sable, dans l’exercice de son activité habituelle de chapeur. Et il ne ressort pas de celui-ci que son contexte de travail était différent de celui qu'il connaît tous les jours. Il en résulte que la simple torsion du genou droit survenue le 27 mai 2019 ne peut être qualifiée de cause extérieure extraordinaire au sens de l’art. 4 LPGA. La décision de refus de prise en charge de la SUVA apparaît ainsi également bien fondée sous cet angle. 6. 6.1. Sur le vu de ce qui précède, c'est à bon droit que la Suva a décidé de n'allouer aucune prestation d'assurance pour les deux interventions chirurgicales des 19 août et 16 septembre 2019 et les incapacités de travail qui ont suivi. Le recours est ainsi rejeté. 6.2. La procédure étant en principe gratuite en matière d’assurance-accidents (voir art. 61 let. a LPGA, applicable par le renvoi de l'art. 1 al. 1 LAA), il ne sera pas perçu de frais. Le recourant, qui succombe, n’a pas droit à des dépens (art. 61 let. g LPGA). 6.3. Il n'est pas alloué de dépens non plus à l'autorité intimée, chargée de tâches de droit public (ATF 128 V 323; 126 V 143), et qui, à juste titre, n’en a pas demandés. (dispositif en page suivante)</w:t>
      </w:r>
    </w:p>
    <w:p>
      <w:r>
        <w:t>Tribunal cantonal TC Page 10 de 10 la Cour arrête : I. Le recours est rejeté. II. Il n'est pas perçu de frais de procédure.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février 2021/eri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