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 vom 23. September 2020</w:t>
      </w:r>
    </w:p>
    <w:p>
      <w:r>
        <w:t>FR Kantonsgericht, 2020-09-23, FR</w:t>
      </w:r>
    </w:p>
    <w:p>
      <w:r>
        <w:rPr>
          <w:b/>
        </w:rPr>
        <w:t xml:space="preserve">Quelle: </w:t>
      </w:r>
      <w:r>
        <w:t>https://mcp.opencaselaw.ch/entscheid/fr_gerichte_605_2020_11</w:t>
      </w:r>
    </w:p>
    <w:p>
      <w:r>
        <w:t>FR: FR_GERICHTE 605 2020 11 du 23 septembre 2020</w:t>
      </w:r>
    </w:p>
    <w:p>
      <w:r>
        <w:t>IT: FR_GERICHTE 605 2020 11 del 23 settembre 2020</w:t>
      </w:r>
    </w:p>
    <w:p>
      <w:pPr>
        <w:pStyle w:val="Heading2"/>
      </w:pPr>
      <w:r>
        <w:t>Regeste</w:t>
      </w:r>
    </w:p>
    <w:p>
      <w:r>
        <w:t>Arrêt de la Ie Cour des assurances sociales du Tribunal cantonal | Invalidenversicherung</w:t>
      </w:r>
    </w:p>
    <w:p>
      <w:pPr>
        <w:pStyle w:val="Heading2"/>
      </w:pPr>
      <w:r>
        <w:t>Erwägungen</w:t>
      </w:r>
    </w:p>
    <w:p>
      <w:r>
        <w:rPr>
          <w:b/>
        </w:rPr>
        <w:t>E. 19</w:t>
      </w:r>
    </w:p>
    <w:p>
      <w:r>
        <w:t>janvier 2006, ses experts ont conclu que l'assurée demeure apte à travailler à 70% en tant que styliste ongulaire ou employée de commerce. Interrogée, la Dre D.________, spécialiste en médecine interne générale, du Service médical régional (ci-après: SMR), a affirmé pour sa part que la capacité de travail de l'assuré était entière. Par décision du 10 septembre 2007, l'OAI a rejeté la demande de prestations, estimant que son assurée possédait une capacité de travail pleine et entière. C. Le 12 avril 2019, l'assurée a déposé une deuxième demande de prestations en raison d'un "trouble dépressif récurrent, épisode actuel sévère sans symptôme psychotique F33.2" et d'un "état de stress post-traumatique F43.1". Par décision du 12 juillet 2019, l'OAI n'est pas entrée en matière sur cette nouvelle demande de prestations. D. Le 3 septembre 2019, l'assurée a déposé une nouvelle demande de prestations, reprenant les diagnostics figurant dans sa précédente demande de prestations. Par décision du 22 novembre 2019, reprenant un projet de décision du 3 octobre 2019, l'OAI n'est toujours pas entrée en matière sur cette nouvelle demande. E. Le 10 janvier 2020, l'assurée, représentée par Me Olivier Carrel, avocat, interjette recours contre cette décision concluant à son annulation et à ce que l'OAI entre en matière sur la nouvelle demande de prestations. A l'appui de ses conclusions, elle indique avoir été engagée par une société en janvier 2017 en qualité d'employée de commerce à un taux de 60% pour une durée indéterminée. Cependant, elle précise y avoir vécu une situation de mobbing. Cumulée à une intervention chirurgicale et des difficultés professionnelles, cette situation a conduit à une aggravation de son état, entrainant une incapacité de travail totale. Elle se plaint également de ce que l'OAI se soit uniquement fondé sur un rapport du son médecin SMR sans procéder à d'autres mesures d'instructions, alors que la précédente expertise datait de plus de 12 ans. A l'appui de son argumentation, elle produit notamment une expertise du Dr E.________, spécialiste en psychiatrie et psychothérapie,</w:t>
      </w:r>
    </w:p>
    <w:p>
      <w:r>
        <w:t>Tribunal cantonal TC Page 3 de 8 mandatée par l'assurance perte de gain de son nouvel employeur, qui, selon elle, atteste de la péjoration de son état de santé. Le 30 janvier 2020, elle s'est acquittée de l'avance de frais de CHF 400.- requise. Dans ses observations du 10 février 2020, l'OAI propose le rejet du recours, renvoyant à la motivation de sa décision et aux pièces du dossier. en droit 1. Interjeté en temps utile – compte tenu de la date de notification et des féries judiciaires –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 2. 2.1.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w:t>
      </w:r>
    </w:p>
    <w:p>
      <w:r>
        <w:t>Tribunal cantonal TC Page 4 de 8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t>Tribunal cantonal TC Page 5 de 8 3. En l'occurrence, il convient de déterminer s'il a été rendu plausible que l'état de santé de l’assurée s’est modifié de manière à influencer ses droits depuis le refus de prester du 10 septembre 2007, non contesté, dont découle pour l'autorité intimée une obligation d'entrer en matière. 3.1. Cela implique, dans un premier temps, d'examiner les motifs ayant conduit l'OAI à rejeter la première demande de prestation. Elle se référait alors à l'avis de la Dre D.________, du SMR. Dans son rapport du 2 février 2006, la docteure affirmait ce qui suit: "en conclusion, [la recourante] souffre de fibromyalgie sans comorbidité psychiatrique intense. Ni le trouble dépressif récurrent qui l'accompagne, d'intensité actuellement légère, ni l'état après poussées de maladie de Crohn actuellement stabilisée, ne sont pas une cause de perte durable et significative de sa capacité de gain, que je considère comme entière aussi bien dans la profession d'employée de commerce que celle de styliste ongulaire". Selon elle, "le statut d'indépendant et la profession de style ongulaire est une source de revenus irréguliers voire aléatoires. Cet aspect économique de son choix professionnel pourrait représenter une source d'anxiété et expliquer la recherche d'une aide financière auprès de l'AI" (dossier OAI, p. 116). La docteure du SMR s'écartait en cela de l'avis des experts de C.________ s'agissant de l'évaluation de la capacité de travail. Dans leur rapport d'expertise pluridisciplinaire (psychiatrie, rhumatologie et gastro-entérologie) du 19 janvier 2006, les experts retenaient un "état dépressif modéré", un "syndrome polyalgique idiopathique diffus de type fibromyalgie" et une "maladie de Crohn iliéo-colique actuellement stable" comme diagnostics invalidants. Selon eux, prises individuellement, les différentes atteintes n'ont pas d'impact sur la capacité de travail, mais c'est bien l'intrication de deux maladies chroniques, de l'état dépressif et de ces traits de caractère qui entraînent une incapacité de travail partielle de l'ordre de 30% (dossier OAI, p. 95). 3.2. C'est sur cette base qu'il convient d'examiner s'il a été rendu plausible que l'état de santé de la recourante a évolué depuis septembre 2007. Certes, dans le cadre de l'expertise du 19 janvier 2006, l'assurée se plaignait déjà de troubles semblables à aujourd'hui (dossier OAI, p. 95). Cependant, sous l'angle de la plausibilité, l'existence de troubles proches ne saurait exclure que l'état général de l'assurée se soit péjoré. Or, la péjoration générale de l'état de l'assurée est relevée par les soignants de F.________, le Dr G.________, spécialiste en psychiatrie et psychothérapie, et H.________, psychologue. Dans leur rapport du 7 novembre 2019, ceux-ci affirment notamment que leur patiente se trouve dans un état d'épuisement et de fragilité psychique depuis plusieurs mois dans un contexte de conflits familiaux, de difficultés au travail et de séparation d'avec son compagnon. Ils évoquent également l'existence d'une affection gynécologique importante durant l'automne 2018 ayant conduit à une intervention en urgence le 14 novembre 2018, laquelle a été suivie de complications post- opératoires. Selon eux, l'ensemble de ces éléments auraient réactivés d'anciens traumatismes (climat de violence, négligences, maltraitances psychologiques), aggravant la symptomatologie dépressive et faisant apparaître une symptomatologie anxieuse sévère, résistant aux différents traitements (dossier OAI, p. 207). Cette évaluation faisait également l'objet de rapports antérieurs (dossier OAI, p. 159, 170 et 171).</w:t>
      </w:r>
    </w:p>
    <w:p>
      <w:r>
        <w:t>Tribunal cantonal TC Page 6 de 8 De même, dans son rapport du 23 octobre 2019, le Dr I.________, spécialiste en médecine interne générale, relève la présence de signes d'épuisement physique et psychique depuis début 2018 et rappelle les suites difficiles de l'intervention du 14 novembre 2018. Selon lui, "depuis lors, sa situation psychique et physique n'a fait qu'empirer". Il résume la situation comme suit: "a patiente remplit largement les critères d'un syndrome douloureux somatoforme persistant avec impact fonctionnel sévère. Sa qualité de vie en est massivement réduite. Toute activité lui demande des efforts considérables. Elle ne sort de chez elle pour les rendez-vous obligatoires et n'a quasiment plus aucun loisir [...]. Elle a restreint ses relations sociales au minimum, ne voyant essentiellement que son ex-conjoint. Elle doit investir tout le peu d'énergie qui lui reste pour réussir tant bien que mal à faire son ménage et ses courses" (dossier OAI, p. 201). Ainsi, en produisant des rapports bien détaillés et argumentés, ces différents médecins font état d'une aggravation des atteintes ayant une répercussion négative sur la capacité de travail de l'assurée. En produisant ces rapports, l'assurée a donc rendu plausible que son degré d'invalidité s'était modifié. 3.3. Pour sa part, pour nier cette plausibilité, l'OAI se fonde sur l'appréciation du Dr J.________, spécialiste en anesthésiologie, du SMR. Dans ses avis du 4 juillet et du 14 novembre 2019, celui-ci estime que ces différents rapports médicaux ne rendent pas plausible une modification de l'état de santé de l'assurée. S'agissant des atteintes somatiques, il estime les plaintes et empêchements comparables à celles constatées par le passé. S'agissant ensuite des troubles dépressifs, il estime que ceux-ci s'inscrivent dans la symptomatologie des troubles déjà diagnostiqués en 2005, le seul état de stress post-traumatique n'étant "habituellement" pas source d'incapacité de travail (rapports du 4 juillet et du 14 novembre 2019; cf. dossier OAI, p. 162 et 206; cf. ég. p. 187 et 214). Cependant, force est de constater que ce rapport ne permet pas de liquider d'entrée de cause et sans autres investigations, par le biais d'une décision de non entrée en matière, la nouvelle demande déposée par l'assurée. En effet, la Cour constate d'emblée que si le médecin du SMR affirme expressément que la situation n'a pas changé depuis 2007, sa motivation est nettement moins claire. Par exemple, il affirme qu'un état de stress post-traumatique n'est "habituellement" pas source d'incapacité de travail sans exclure que cela soit dans le cas qui lui est soumis ni examiner la gravité des facteurs de stress allégués. Cet automatisme ne peut être cautionné alors que l’analyse de l'influence des troubles psychiques sur la capacité de travail doit être fondée sur 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Par ailleurs, anesthésiologiste, le médecin du SMR estime que l'aggravation de la dépression s'inscrit dans la variation ordinaire de la symptomatologie dépressive alors même que des spécialistes en la matière l'excluent de manière argumentée. Il procède de ce fait à une démarche diagnostique dans un domaine qui n'est pas le sien pour s'opposer à l'avis d'un spécialiste en psychiatrie, et cela sans même avoir examiné l’assurée, ce qui dépasse son rôle de médecin SMR (cf. arrêt TF 9C_839/2015 du 2 mai 2016 consid. 3.3).</w:t>
      </w:r>
    </w:p>
    <w:p>
      <w:r>
        <w:t>Tribunal cantonal TC Page 7 de 8 Enfin, l'on ne doit pas perdre de vue que la procédure de la non-entrée en matière vise à éviter que l'administration ait à traiter sans cesse des demandes de prestations identiques et non justifiées en détail, c'est-à-dire ne présentant pas de changement dans les faits (cf. ATF 109 V 264 consid. 3). Tel n'est manifestement pas le cas en l'espèce à lire les différents rapports médicaux produits, lesquels attestent expressément, de manière argumentée et détaillée, de l'aggravation de la situation. Cela l'est d'autant moins que l'assurée avait déposé sa précédente demande en 2005, soit il y a près de quinze ans. Au vu de ce qui précède, la Cour ne peut confirmer le refus d'entrer en matière, l'aggravation de l'état de santé de l'assurée ayant été rendu plausible. A ce stade, la Cour prend acte que, dans son rapport d'expertise du 7 mai 2019, le Dr K.________ confirme que les incapacités de travail attestées par les médecins traitants étaient justifiées et prévoit que la capacité de travail de l'assurée sera nulle jusqu'au 31 juillet 2019, de 50% jusqu'au 31 août 2019 et de 100% dès le 1er septembre 2019, étant rappelé que la nouvelle demande a été déposée le 3 septembre 2019. De même, elle a été en mesure de prendre connaissance des autres rapports produits à l'appui du recours, lesquels contestent partiellement les conclusions de cet expert, en particulier lorsqu'il prédit une amélioration de la capacité de travail de l'assurée. Néanmoins, compte tenu de la jurisprudence constante en la matière, ces documents ne sauraient faire foi dans le cadre du présent refus d'entrer en matière car produits postérieurement à la décision litigieuse (cf. consid. 2.3 ci-avant). 4. 4.1. Au vu de ce qui précède, le recours doit être admis, la décision de l'OAI annulée et le dossier renvoyé à l'autorité intimée pour qu'elle entre en matière sur la nouvelle demande déposée par son assurée. 4.2. La procédure n'étant pas gratuite, les frais de justice, fixés à CHF 400.-, sont mis à la charge de l'autorité intimée qui succombe. La recourante se voit remboursé l'avance de frais de CHF 400.- versée. 4.3. Obtenant gain de cause, la recourante a droit à une indemnité de partie. Le</w:t>
      </w:r>
    </w:p>
    <w:p>
      <w:r>
        <w:rPr>
          <w:b/>
        </w:rPr>
        <w:t>E. 21</w:t>
      </w:r>
    </w:p>
    <w:p>
      <w:r>
        <w:t>septembre 2020, son mandataire a transmis sa liste de frais, d'un montant total de CHF 4'452.75, à savoir CHF 3'957.50 au titre d'honoraires (15h45 à CHF 250.-), CHF 196.90 au titre de débours forfaitaires (5%) et CHF 318.35 au titre de la TVA (7.7%). Toutefois, la liste de frais produite n'apparaît pas conforme aux exigences du tarif cantonal du 17 décembre 1991 des frais de procédure et des indemnités en matière de juridiction administrative (Tarif JA, RSF 150.12). En particulier, les frais sont calculés de manière forfaitaire alors que cette méthode n'est pas prévue en matière d’assurances sociales (cf. arrêt TC 605 2016 93 du 7 mars 2017;cf. ég. art. 11 al. 2 Tarif JA; art. 68 du Règlement sur la Justice; RJ; RSF 130.11). Au demeurant, l'ampleur du travail allégué par le mandataire ne saurait se justifier par la nature, l'importance et la difficulté de la présente cause, étant rappelé qu'un seul échange d'écritures a été ordonné. On relèvera, en particulier, que l'avocat n'a pas été confronté à des questions de fait ou de droit inhabituelles ou exceptionnellement ardue et n'a pas non plus eu à étudier un dossier particulièrement volumineux. Par ailleurs, dans la mesure où la décision litigieuse était une</w:t>
      </w:r>
    </w:p>
    <w:p>
      <w:r>
        <w:t>Tribunal cantonal TC Page 8 de 8 décision de non entrée en matière, il n'appartenait en outre pas à la Cour de se positionner sur de nouveaux moyens de preuve, conformément à la jurisprudence constante en la matière. Dans ces circonstances, la Cour s'écarte des opérations qui y figurent et fixe l'indemnité d’office, selon sa libre appréciation (cf. art. 11 Tarif JA). Compte tenu de l'importance et de la difficulté de l'affaire (art. 11 al. 2 Tarif JA), l'indemnité de partie est fixée ex aequo et bono ex aequo et bono à un montant total de CHF 2'746.35, à savoir à CHF 2'500.- au titre d'honoraires (10 heures à CHF 250.-), CHF 50.- au titre de frais et CHF 196.35 au titre de la TVA (7.7%). Ce montant est mis à la charge de l'autorité intimée qui succombe. la Cour arrête : I. Le recours est admis. Partant, la décision du 22 novembre 2019 est annulée et le dossier renvoyé à l'autorité intimée pour qu'elle entre en matière. II. Les frais de justice, fixés à CHF 400.-, sont mis à la charge de l'autorité intimée. III. L'avance de frais de CHF 400.- est restituée à la recourante. IV. L'indemnité de partie est fixée à CHF 2'746.35, dont CHF 196.35 au titre de la TVA (7.7%) et mise à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