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336 vom 26. Januar 2021</w:t>
      </w:r>
    </w:p>
    <w:p>
      <w:r>
        <w:t>FR Kantonsgericht, 2021-01-26, FR</w:t>
      </w:r>
    </w:p>
    <w:p>
      <w:r>
        <w:rPr>
          <w:b/>
        </w:rPr>
        <w:t xml:space="preserve">Quelle: </w:t>
      </w:r>
      <w:r>
        <w:t>https://mcp.opencaselaw.ch/entscheid/fr_gerichte_605_2019_336</w:t>
      </w:r>
    </w:p>
    <w:p>
      <w:r>
        <w:t>FR: FR_GERICHTE 605 2019 336 du 26 janvier 2021</w:t>
      </w:r>
    </w:p>
    <w:p>
      <w:r>
        <w:t>IT: FR_GERICHTE 605 2019 336 del 26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 recourant, dûment représenté, étant en outre directement atteint par la décision querellée et possédant dès lors un intérêt digne de protection à ce qu'elle soit, cas échéant, annulée ou modifiée.</w:t>
      </w:r>
    </w:p>
    <w:p>
      <w:r>
        <w:rPr>
          <w:b/>
        </w:rPr>
        <w:t>E. 2</w:t>
      </w:r>
    </w:p>
    <w:p>
      <w:r>
        <w:t>Dispositions relatives au droit d'être entendu</w:t>
      </w:r>
    </w:p>
    <w:p>
      <w:r>
        <w:rPr>
          <w:b/>
        </w:rPr>
        <w:t>E. 2.1</w:t>
      </w:r>
    </w:p>
    <w:p>
      <w:r>
        <w:t>Le droit d'être entendu est une garantie constitutionnelle de caractère formel (art. 29 al. 2 Cst.), dont la violation doit entraîner l'annulation de la décision attaquée, indépendamment des chances de succès du recourant sur le fond.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w:t>
      </w:r>
    </w:p>
    <w:p>
      <w:r>
        <w:rPr>
          <w:b/>
        </w:rPr>
        <w:t>E. 2.2</w:t>
      </w:r>
    </w:p>
    <w:p>
      <w:r>
        <w:t>S'agissant d'abord du droit de consulter le dossier, celui-ci s'étend à toutes les pièces décisives figurant au dossier. Il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w:t>
      </w:r>
    </w:p>
    <w:p>
      <w:r>
        <w:rPr>
          <w:b/>
        </w:rPr>
        <w:t>E. 2.3</w:t>
      </w:r>
    </w:p>
    <w:p>
      <w:r>
        <w:t>S'agissant ensuite du devoir de motiver une décision, celui-ci est déduit du droit d'être entendu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w:t>
      </w:r>
    </w:p>
    <w:p>
      <w:r>
        <w:t>Tribunal cantonal TC Page 5 de 15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w:t>
      </w:r>
    </w:p>
    <w:p>
      <w:r>
        <w:rPr>
          <w:b/>
        </w:rPr>
        <w:t>E. 3</w:t>
      </w:r>
    </w:p>
    <w:p>
      <w:r>
        <w:t>Discussion relative au droit d'être entendu</w:t>
      </w:r>
    </w:p>
    <w:p>
      <w:r>
        <w:rPr>
          <w:b/>
        </w:rPr>
        <w:t>E. 3.1</w:t>
      </w:r>
    </w:p>
    <w:p>
      <w:r>
        <w:t>Dans un premier grief, le recourant se plaint de n'avoir obtenu une copie de son dossier que trop tardivement. Il ressort du dossier que le mandataire du recourant a déposé le mercredi 4 décembre 2019 une demande écrite – par courrier et par courriel – tendant à la consultation de son dossier "dans le plus bref délai" (dossier OAI, p. 675). Après avoir reçu cette requête, l'OAI y a donné suite en transmettant un CD-ROM, contenant copie de l'ensemble du dossier, et le mot de passe nécessaire le mardi 10 décembre 2019 (dossier OAI, p. 676). L'OAI a donc transmis une copie du dossier à l'assuré quatre jours ouvrables après que celui-ci l'ait demandé. Ce délai est raisonnable et ne saurait, en tous les cas, constituer une violation du droit d'être entendu. Selon les calculs du mandataire, le délai de recours devait échoir le lundi 16 décembre 2019, la décision ayant été notifiée le 15 novembre 2020. Aux dires du mandataire, la copie du dossier a été reçue trois jours ouvrables avant l'échéance du délai de recours. Si l'on peut admettre qu'un délai de trois jours pour prendre connaissance d'un dossier de près de 700 pages et rédiger un mémoire est court, ce fait ne peut être imputé à l'OAI. Il était surtout de la responsabilité de l'assuré, respectivement de son mandataire, de demander la production du dossier plus tôt, de manière à pouvoir garantir ses droits, cela d’autant plus que le sort de sa demande lui avait déjà été communiqué sous la forme du préavis quelques mois plus tôt. Quoi qu'il en soit, le fait de n'avoir transmis le dossier que le 10 décembre 2019 ne saurait être considéré comme problématique. Il n'a pas empêché l'assuré de déposer un recours motivé dans les délais devant le Tribunal cantonal, recours qu'il aurait eu tout loisir de compléter ultérieurement ce dont il s'est néanmoins abstenu.</w:t>
      </w:r>
    </w:p>
    <w:p>
      <w:r>
        <w:rPr>
          <w:b/>
        </w:rPr>
        <w:t>E. 3.2</w:t>
      </w:r>
    </w:p>
    <w:p>
      <w:r>
        <w:t>Le recourant se plaint ensuite d'une motivation insuffisante de la décision du 14 novembre 2019. Selon lui, cette dernière ne tient pas compte des remarques figurant dans ses objections du 14 novembre 2019. La décision ici contestée est très brièvement motivée. Cependant, elle mentionne les motifs ayant guidé l'OAI et sur lesquels il a fondé sa décision. En particulier, il renvoie explicitement à l’exigibilité médico-théorique retenue dans le rapport d’expertise du 17 juillet 2019 et procède à un calcul sommaire du degré d'invalidité. Ainsi, dès lors que l'on peut discerner les motifs qui ont guidé la décision de l'autorité, le droit à une décision motivée a été respecté. L'assuré a par ailleurs été en mesure d'en faire une contestation systématique dans le cadre de son recours.</w:t>
      </w:r>
    </w:p>
    <w:p>
      <w:r>
        <w:rPr>
          <w:b/>
        </w:rPr>
        <w:t>E. 3.3</w:t>
      </w:r>
    </w:p>
    <w:p>
      <w:r>
        <w:t>Le recourant se plaint enfin de ce que son droit d'être entendu a été violé dans la mesure où il n'a été informé ni du fait qu'une expertise le concernant figurait au dossier, ni de son contenu. L'assuré a été avisé par courrier du 21 janvier 2019 du fait que l'OAI mandatait un médecin-expert (dossier OAI, p. 575). Le 14 février 2019, il a ensuite été informé de l'identité de l'expert ainsi que</w:t>
      </w:r>
    </w:p>
    <w:p>
      <w:r>
        <w:t>Tribunal cantonal TC Page 6 de 15 du catalogue de questions sur lequel ce dernier devait se pencher (dossier OAI, p. 576). Enfin, le 13 mars 2019, il s'est fait convoquer pour un examen médical (dossier OAI, p. 591), examen réalisé le 15 mai 2019 (dossier OAI, p. 601). Certes, l'assuré ne s'est pas vu adresser une copie du rapport d'expertise. Pour autant, il n'affirme pas que cette pièce n'a pas été mise à sa disposition, étant précisé que, à le lire dans ses objections, il paraissait conscient de la portée des conclusions de l'expert sur son droit aux prestations qu'il s'attachait déjà à contester. Ainsi, il revient sur "l’expertise médicale (surréaliste)", indiquant ce qui suit: "pour simplifier, moi je n’ai rien dit et lui, il n’a rien vu, et c’est sur cette base qu‘il va faire une expertise et tirer des conclusions. Je suis encore choqué, je peine encore à croire" (dossier OAI, p. 668). Au vu du processus suivi, les affirmations du recourant ne tiennent donc pas. L'on constate qu'il était pleinement informé du fait qu'une expertise avait été réalisée, ne serait-ce que parce qu'il s'est directement fait examiner par l'expert. Il importe peu dans ce contexte que l'OAI n'indique pas expressément se fonder sur ce rapport précis dans son projet de décision du 23 septembre 2019, omission au demeurant corrigée dans la décision du 14 novembre 2019.</w:t>
      </w:r>
    </w:p>
    <w:p>
      <w:r>
        <w:rPr>
          <w:b/>
        </w:rPr>
        <w:t>E. 3.4</w:t>
      </w:r>
    </w:p>
    <w:p>
      <w:r>
        <w:t>Il ressort de l'ensemble de ce qui précède que l'existence d'une violation du droit d'être entendu n'est pas démontrée. Les griefs sur ce plan doivent dès lors être écartés.</w:t>
      </w:r>
    </w:p>
    <w:p>
      <w:r>
        <w:rPr>
          <w:b/>
        </w:rPr>
        <w:t>E. 4</w:t>
      </w:r>
    </w:p>
    <w:p>
      <w:r>
        <w:t>Principes relatifs à l'assurance-invalidité</w:t>
      </w:r>
    </w:p>
    <w:p>
      <w:r>
        <w:rPr>
          <w:b/>
        </w:rPr>
        <w:t>E. 4.1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4.2</w:t>
      </w:r>
    </w:p>
    <w:p>
      <w:r>
        <w:t>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w:t>
      </w:r>
    </w:p>
    <w:p>
      <w:r>
        <w:t>Tribunal cantonal TC Page 7 de 15 résultat prédéfini, en tenant compte d'un catalogue d'indices qui rassemble les éléments essentiels propres aux troubles de nature psychosomatique (cf. ATF 143 V 409; 141 V 281).</w:t>
      </w:r>
    </w:p>
    <w:p>
      <w:r>
        <w:rPr>
          <w:b/>
        </w:rPr>
        <w:t>E. 5</w:t>
      </w:r>
    </w:p>
    <w:p>
      <w:r>
        <w:t>Principes relatifs aux nouvelles demandes</w:t>
      </w:r>
    </w:p>
    <w:p>
      <w:r>
        <w:rPr>
          <w:b/>
        </w:rPr>
        <w:t>E. 5.1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rPr>
          <w:b/>
        </w:rPr>
        <w:t>E. 5.2</w:t>
      </w:r>
    </w:p>
    <w:p>
      <w:r>
        <w:t>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w:t>
      </w:r>
    </w:p>
    <w:p>
      <w:r>
        <w:rPr>
          <w:b/>
        </w:rPr>
        <w:t>E. 5.3</w:t>
      </w:r>
    </w:p>
    <w:p>
      <w:r>
        <w:t>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rPr>
          <w:b/>
        </w:rPr>
        <w:t>E. 6</w:t>
      </w:r>
    </w:p>
    <w:p>
      <w:r>
        <w:t>Principes relatifs à l'appréciation des preuves Dans le droit des assurances sociales, la règle du degré de vraisemblance prépondérante est généralement appliquée.</w:t>
      </w:r>
    </w:p>
    <w:p>
      <w:r>
        <w:rPr>
          <w:b/>
        </w:rPr>
        <w:t>E. 6.1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w:t>
      </w:r>
    </w:p>
    <w:p>
      <w:r>
        <w:t>Tribunal cantonal TC Page 8 de 15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6.3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9 de 15</w:t>
      </w:r>
    </w:p>
    <w:p>
      <w:r>
        <w:rPr>
          <w:b/>
        </w:rPr>
        <w:t>E. 7</w:t>
      </w:r>
    </w:p>
    <w:p>
      <w:r>
        <w:t>Discussion quant à la capacité de travail En l’espèce, le litige porte sur la question de savoir si l'état de santé du recourant s'est aggravé au point de justifier l'octroi de prestations AI, respectivement si la mise sur pied d’une expertise est nécessaire. La décision du 31 juillet 2003, confirmée sur opposition le 13 janvier 2004,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w:t>
      </w:r>
    </w:p>
    <w:p>
      <w:r>
        <w:rPr>
          <w:b/>
        </w:rPr>
        <w:t>E. 7.1</w:t>
      </w:r>
    </w:p>
    <w:p>
      <w:r>
        <w:t>Il n'est dès lors pas sans intérêt de rappeler les motifs ayant conduit l'OAI à rejeter la demande de rente par décision du 31 juillet 2003, confirmée sur opposition le 13 janvier 2004. A cette occasion, l'OAI avait considéré que l'assuré était en mesure d'exercer à plein temps des activités adaptées ne comportant pas de travaux lourds et répétitifs. Se référant à un revenu d'invalide basé sur les chiffres de l'enquête suisse sur la structure des salaires 2000 (ci-après: ESS), il avait néanmoins pris en compte une réduction supplémentaire au titre de désavantage salarial de 20%. Pour sa part, le revenu de valide était basé sur le salaire perçu en tant que dessinateur géomètre (dossier OAI, p. 166 et 180). S'agissant des conclusions médicales, l'OAI se référait aux conclusions des médecins de D.________, en particulier le Dr I.________, spécialiste en chirurgie orthopédique et traumatologie de l'appareil locomoteur. Celui-ci retenait les diagnostics invalidants d'"arthrose post-traumatique du coude gauche", "d'instabilité antérieure des deux épaules" et de "status après ostéochondrite disséquante de l'astragale gauche". Il estimait que ces atteintes n'empêchaient pas l'assuré de travailler à temps plein, sans perte de rendement, dans une activité adaptée. Celle-ci ne devait pas exiger de travaux lourds ou répétitifs au niveau des membres supérieurs, mais également éviter des activités posturales prolongées, telles un travail continu à l'ordinateur (dossier OAI, p. 151).</w:t>
      </w:r>
    </w:p>
    <w:p>
      <w:r>
        <w:rPr>
          <w:b/>
        </w:rPr>
        <w:t>E. 7.2</w:t>
      </w:r>
    </w:p>
    <w:p>
      <w:r>
        <w:t>Sur le vu de ce qui précède, il convient d'examiner si l'état de santé du recourant a évolué au point d'impacter sa capacité de gain. Dans le cadre de l'instruction de la nouvelle demande, l'OAI avait mandaté le Dr H.________ pour une expertise orthopédique. Dans son rapport du 17 juillet 2019, celui-ci retient les diagnostics invalidants de "séquelles de fracture de la palette humérale gauche dans l'enfance avec défaut résiduel de mobilité du coude gauche", de "gonalgies gauches sans substrat neurologique" et de "séquelles d'entorse de la cheville gauche". En raison de ces diagnostics, il considère que l'assuré est en mesure de travailler sans perte de rendement et à temps plein dans une activité adaptée. Il fait état de limitation en lien avec la position debout et la marche, le port de charge de plus de</w:t>
      </w:r>
    </w:p>
    <w:p>
      <w:r>
        <w:rPr>
          <w:b/>
        </w:rPr>
        <w:t>E. 7.3</w:t>
      </w:r>
    </w:p>
    <w:p>
      <w:r>
        <w:t>Reste à examiner si les conclusions de l'expert-orthopédiste peuvent être mises en doute par d'autres pièces du dossier. Le généraliste traitant, le Dr J.________, médecin praticien, retient les diagnostics d'"arthrose sévère du coude gauche post fracture opérée dans l'enfance", de "syndrome de compression du nerf ulnaire du coude gauche" et d'"atrophie de la masse musculaire de l'avant-bras gauche et main gauche" (rapport du 2 octobre 2017, dossier OAI, p. 444; cf. ég. p. 238 et 270). S'il indique que la capacité de son patient est nulle, cette affirmation est uniquement en lien avec l'ancienne activité au sein d'un atelier de sellerie. En revanche, dans une activité adaptée – soit en position assise ou permettant l'alternance de positions, avec un périmètre de marche limité, une limitation des mouvements répétitifs et du travail en hauteur – il estime que son patient peut travailler 8 heures par jour, soit une capacité de travail entière. Il évoque tout au plus qu'il y a "possiblement" une diminution du rendement (rapport du 11 juin 2018, dossier OAI, p. 540; cf. ég. p. 559). Force est de constater que les conclusions du généraliste traitant ne s'écartent que</w:t>
      </w:r>
    </w:p>
    <w:p>
      <w:r>
        <w:t>Tribunal cantonal TC Page 11 de 15 marginalement des conclusions du Dr H.________, avec l'existence possible – et non établie – d'une diminution de rendement. En 2017, le patient a été suivi par plusieurs médecins de la clinique d'orthopédie de K.________, notamment le Dr L.________, généraliste, le Dr M.________, spécialiste en chirurgie orthopédique et traumatologie de l'appareil locomoteur, la Dre N.________, spécialiste en chirurgie orthopédique et traumatologie de l'appareil locomoteur, et le Dr O.________, spécialiste en chirurgie orthopédique et traumatologie de l'appareil locomoteur. Excluant – à l'instar de l'expert mandaté par l'OAI – une origine neurologique aux plaintes (rapport du 31 août 2017, dossier OAI, p. 548), ces médecins retenaient le seul diagnostic de "traumatisierte fortgeschrittene Cubitalarthrose links" (rapport du 17 octobre 2017, dossier OAI, p. 525). Dans le cadre de leur intervention, ils ont procédé à une infiltration de carbostesin et de depo-medrol dont les suites ont été considérées comme positives, étant alors constaté que le patient ne prenait plus régulièrement d'antidouleurs (rapport du 25 mai 2017, dossier OAI, p. 395; cf. ég. p. p. 316, 318, 329 et 551). Dans leur rapport le plus récent, ils indiquent ce qui suit: "Der Patient hat sich vorerst gegen eine Ellenbogenprothese entschieden. Wir verweisen bzgl. der Therapieoptionen auf den ausführlichen Bericht vom 22.08.2017. Aufgrund der Befunde der Neurographie würden wir im Falle einer Prothesenimplantation einen N. Ulnaris-Release empfehlen mit Zuzug der Handchirurgen. Somit ist eine handchirurgische Vorstellung aktuell aus unserer Sicht nicht mehr notwendig, solange das Sulcus-ulnaris-Syndrom klinisch kompensiert ist" (rapport du 31 août et du 17 octobre 2017, dossier OAI, p. 525 et 551). Si ces médecins ne quantifient pas expressément l'impact sur la capacité de travail de leur patient, ils évoquent tout de même des limitations dans les tâches répétitives et le port de charge. Il s'agit de limitations également évoquées par le Dr H.________. Enfin, les Drs P.________ et Q.________, tous deux spécialistes en chirurgie orthopédique et traumatologie de l'appareil locomoteur, ont été interrogés sur le plan diagnostic. Evoquant uniquement une diminution de la mobilité du coude et de la force, ils ne font cependant pas état d'incapacité de travail (dossier OAI, p. 510, 521, 556 et 557). Force est dès lors de constater que les conclusions du Dr H.________ ne sont pas mises en cause par les autres médecins interrogés.</w:t>
      </w:r>
    </w:p>
    <w:p>
      <w:r>
        <w:rPr>
          <w:b/>
        </w:rPr>
        <w:t>E. 7.4</w:t>
      </w:r>
    </w:p>
    <w:p>
      <w:r>
        <w:t>Dans son mémoire de recours, le recourant soutient que sa situation médicale doit impérativement être examinée sur le plan psychiatrique. A ses dires, il est probable que son état psychique a une influence sur sa capacité de travail, respectivement sur sa volonté de se soumettre à des opérations ou à des mesures de réadaptation. Cependant, l'on constate que le recourant n'est pas suivi sur le plan psychiatrique, que cela soit par un psychiatre, un psychologue ou même son médecin généraliste. Aucune médication psychotrope ne lui est non plus prescrite. En l'absence de traitement visant à en palier les symptômes, l'existence d'un trouble psychiatrique suffisamment sérieux pour justifier une incapacité de travail n'apparaît pas avoir été rendue vraisemblable. Par ailleurs, rien ne permet de constater que la situation aurait changé depuis la décision initiale du 31 juillet 2003. Certes, dans son rapport du 11 juin 2018, le Dr J.________ indique-t’il que des facteurs psychologiques pourraient faire obstacle à la réadaptation de son patient (dossier OAI, p. 540). Toutefois, dans un rapport du 8 juillet 2003, le Dr R.________, spécialiste en psychiatrie et psychothérapie auprès de D.________, estimait déjà plausible l'existence de facteurs psychologiques qui pourraient mettre en péril la bonne marche des mesures de réadaptation</w:t>
      </w:r>
    </w:p>
    <w:p>
      <w:r>
        <w:t>Tribunal cantonal TC Page 12 de 15 (dossier OAI, p. 161). La lecture du rapport du Dr J.________ tend donc à confirmer que la situation n'a pas évolué sur ce plan.</w:t>
      </w:r>
    </w:p>
    <w:p>
      <w:r>
        <w:rPr>
          <w:b/>
        </w:rPr>
        <w:t>E. 7.5</w:t>
      </w:r>
    </w:p>
    <w:p>
      <w:r>
        <w:t>Il ressort de l'ensemble de ce qui précède que l'assuré n'était pas en mesure de travailler entre le 13 septembre et le 13 octobre 2016. Puis, jusqu'au 1er juin 2018, seules des activités monomanuelles étaient exigibles. A partir de cette dernière date, il faut considérer comme établi de manière probante qu'il est en mesure de travailler sans perte de rendement et à temps plein dans une activité n'imposant pas la position debout et la marche prolongées, un port de charge de plus de 10 kg ou au dessus de la ceinture scapulaire, ainsi que le travail sur les échelles ou échafaudages. 8. Principes relatifs au calcul du degré d'invalidité 8.1.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8.2.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8.3.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8.4.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w:t>
      </w:r>
    </w:p>
    <w:p>
      <w:r>
        <w:t>Tribunal cantonal TC Page 13 de 15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9. Discussion relative au degré d'invalidité Compte tenu de l'ensemble de ce qui précède, il convient de déterminer le degré d'invalidité du recourant, étant précisé que le droit à une éventuelle rente ne prendrait naissance qu'une année après le dépôt de la demande de prestations, soit en janvier 2018 (art. 28 LAI). 9.1. S'agissant du revenu de valide, celui-ci a été fixé à CHF 80'991.-, l'OAI se référant au revenu que percevait l'assuré comme collaborateur atelier sellerie. Le recourant conteste ce montant, estimant, à juste titre, qu'il convient de se référer au revenu qu'il obtiendrait en tant que géomètre, profession qu'il a apprise et dont il détient le CFC.</w:t>
      </w:r>
    </w:p>
    <w:p>
      <w:r>
        <w:t>Tribunal cantonal TC Page 14 de 15 Ainsi, ressort-t’il des pièces à disposition de la Cour que, en 1997, l'assuré aurait obtenu un revenu mensuel de CHF 63'050.- en tant que géomètre (dossier OAI, p. 166). Compte tenu de l'évolution des salaires nominaux, cela correspondrait à un revenu de CHF 79'590.65 pour l'année 2018 (indices de 104.689 pour 1997 et 132.1533 pour 2018, cf. OFS, T1.93 Indice suisse des salaires par secteur, secteur Tertiaire). Ce calcule démontre que le montant pris en compte par l'OAI est légèrement plus élevé que celui dont se prévaut le recourant. Dans la mesure où cela lui est favorable et en l'absence de réel impact sur le droit aux prestations, la Cour de céans va donc se référer à ce dernier montant. Partant, le revenu de valide est fixé à CHF 80'991.-. 9.2. S'agissant ensuite du revenu d'invalide, l'OAI l'a fixé à CHF 77'852.70 (CHF 6'631.- x 13) considérant qu’il correspondrait à ce que l'assuré serait en mesure d'obtenir s'il reprenait une activité de géomètre. Si cela n'est pas expressément indiqué dans la décision contestée, il ressort des pièces du dossier que ce montant a été déterminé à l'aide du calculateur individuel de salaires proposé par l'Office fédéral de la statistique (dossier OAI, p. 496). Or, l'usage de ce calculateur a été rejeté par le Tribunal fédéral qui a donné la priorité à la comparaison des revenus sur la base des données statistiques nationales telles que l'ESS (arrêts TF 9C_414/2017 du 21 septembre 2017 considérant 4.2, 8C_486/2013 du 4 novembre 2013 consid. 4). Partant, il convient plutôt de se référer au montant mensuel de CHF 5'339.-, soit CHF 64'068.- annuellement. Ce montant correspond au salaire médian du secteur privé des services selon les chiffres de l'ESS 2016 (TA1_Skill level, totaux, niveau de compétences 2, hommes). En l'occurrence, dès lors que l'assuré n'était en mesure de travailler que dans des activités monomanuelles jusqu'en juin 2018, la Cour se réfère aux activités légères dans le secteur des services uniquement (cf. arrêt TF I 377/06 du 2 juillet 2007). Par ailleurs, dans la mesure où l'assuré dispose non seulement d'un CFC mais a également réalisé deux ans de formation dans le domaine de la joaillerie et dispose d'une expérience professionnelle très variée, il convient de renvoyer plutôt aux grands groupes 4 à 8 de la classification internationale du type des professions (CITP), ce qui implique prendre en compte le niveau de compétence 2. De ce fait, l'on peut considérer que CHF 64'068.- correspond au revenu que l'assuré pourrait obtenir dans un large éventail d'activités, dont un nombre significatif d'entre elles est adapté à ses limitations et à ses aptitudes, sur un marché du travail supposé équilibré. Ce montant doit être adapté à l'évolution des salaires nominaux (soit CHF 64'668.55, indices de 104.5378 pour 2016 et 105.5177 pour 2018, cf. OFS, T1.10 Indice des salaires nominaux par branches 2011-2017, 45-96 secteur tertiaire) et prendre en compte la durée usuelle du travail de 41.7 heures par semaine en 2018 (CHF 67'416.95, cf. OFS, Durée normale du travail dans les entreprises selon la division économique, secteur tertiaire). Au vu de la capacité de travail de 100% qui a été retenue, le revenu d'invalide est fixé à CHF 67'416.95. 9.3. Il ressort de la comparaison des revenus de valide (CHF 80'991.-) et d'invalide (CHF 67'416.95) que la perte de gain se monte à CHF 13'574.05. Cela correspond à un degré d'invalidité de 16.76%, soit 17% (cf. ATF 130 V 121).</w:t>
      </w:r>
    </w:p>
    <w:p>
      <w:r>
        <w:t>Tribunal cantonal TC Page 15 de 15 Force est ainsi de constater que, même en limitant le revenu de valide à des activités strictement monomanuelles, le recourant a un degré d'invalidité inférieur à 40%, ce qui ne donne pas droit à une rente de l'assurance-invalidité. Au demeurant, ce degré d'invalidité demeurerait inférieur à 40% si l'on tenait compte d'une réduction supplémentaire du revenu d'invalide au titre de désavantage salarial, et cela même si celle-ci était fixée au maximum de 25% autorisé par la jurisprudence. Il n'est dès lors pas nécessaire de trancher la question de son amplitude. 10. Sort du recours Le recours doit être rejeté et la décision du 14 novembre 2019 confirmée. Les frais de justice sont fixés à CHF 800.- et mis à la charge du recourant qui succombe. Ils sont compensés avec l'avance du même montant déjà versée. Il n'est pas octroyé d'indemnité de partie. la Cour arrête : I. Le recours est rejeté. II. Les frais de justice sont fixés à CHF 800.- et mis à la charge du recourant qui succombe; ils sont compensés avec l'avance du même montant déjà versée.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2021/pte Le Président : Le Greffier-rapporteur :</w:t>
      </w:r>
    </w:p>
    <w:p>
      <w:r>
        <w:rPr>
          <w:b/>
        </w:rPr>
        <w:t>E. 10</w:t>
      </w:r>
    </w:p>
    <w:p>
      <w:r>
        <w:t>kg ou au dessus de la ceinture scapulaire, ainsi que le travail sur les échelles ou échafaudages. Il précise néanmoins qu'il y a eu une incapacité de travail totale entre le 13 septembre et le</w:t>
      </w:r>
    </w:p>
    <w:p>
      <w:r>
        <w:rPr>
          <w:b/>
        </w:rPr>
        <w:t>E. 13</w:t>
      </w:r>
    </w:p>
    <w:p>
      <w:r>
        <w:t>octobre 2016, et que jusqu'au 1er juin 2018 seules des activités monomanuelles étaient exigibles (dossier OAI, p. 601). Les conclusions de l'expert sont fondées sur l'étude du dossier assécurologique ainsi que des différentes pièces apportées par l'assuré. L'on précise, à cet égard, que si l'assuré fait état de difficultés en lien avec l'ouverture de ces dernières au jour de la rencontre avec l'expert (cf. dossier OAI, p. 661), cela n'exclut nullement que celui-ci ait pris connaissance de leur contenu durant les</w:t>
      </w:r>
    </w:p>
    <w:p>
      <w:r>
        <w:t>Tribunal cantonal TC Page 10 de 15 jours suivants. L'on constate, au contraire, que l'expert semble détailler le contenu de rapports en annexe 1 et reproduit les nouvelles pièces en annexe 6 de l'expertise. Il apparaît ainsi que l'expertise se fonde sur une bonne connaissance du dossier. En outre, l'expert se base également sur un entretien d'une heure avec l'assuré en date du 15 mai 2019. L'on rappelle, à ce stade, que la jurisprudence fédérale a maintes fois confirmé que la durée de l'entretien n'était à elle seule pas déterminante pour juger de la valeur probante de l'expertise et que c'était bien plus le contenu de cette dernière qui importait (cf. arrêt TF 9C_443/2008 du 28 avril 2009 consid. 4.4.2). A l'occasion de cet entretien, l'assuré a été en mesure de décrire ses atteintes ainsi que leur impact sur son quotidien, notamment le fait que la mobilité de son coude gauche était limitée depuis qu'il était âgé de quatre ans ensuite d'un accident dont le suivi médical n'aurait pas été adéquat. Il a également pu préciser ses autres atteintes, notamment au genou et à la cheville gauche. A ses dires, l'ensemble de ces troubles ne l'empêcheraient pas d'effectuer toutes ses activité, mais l'obligent à plus de lenteur et à éviter l'usage du membre supérieur gauche. Pour sa part, l'expert a pu procéder à un examen complet de l'expertisé. Contrairement à ce que prétend le recourant, l'expert ne s'est pas concentré sur les membres supérieurs mais a également examiné les genoux, les chevilles et les pieds, relevant une sensibilité et une douleur à gauche sans trouble neurologique révélé. L'expert présente par ailleurs une argumentation détaillée de ses réponses quant aux diagnostics qu'il retient et à l'évaluation de la capacité de travail. Ainsi, par exemple, pour ce qui a trait aux membres inférieurs, il souligne que "le profil d'effort actuel est meilleur que celui décrit par le [généraliste traitant] par rapport à la marche et à la position debout car il n'y a pas de substrat clair ou de plainte décrite par la personne assurée. Les radios de la cheville mettent en évidence une séquelle [d]'entorse avec un arrachement osseux mais pas la présence d'arthrose liée au niveau de calcanéo-talienne, ni au niveau de la sous-talienne". De même, s'agissant des troubles au niveau du membre supérieur gauche, il constate la présence d'une autolimitation ainsi qu'une certaine incohérence entre les déclarations du patient et le status objectif. Il constate également que l'assuré ne suit aucun traitement. Compte tenu de l'ensemble de ce qui précède, il apparaît ainsi que les conclusions du Dr H.________, bien argumentées, sont convaincantes et doivent se faire reconnaître une pleine valeur probante sur le plan formel.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