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 vom 12. Dezember 2019</w:t>
      </w:r>
    </w:p>
    <w:p>
      <w:r>
        <w:t>FR Kantonsgericht, 2019-12-12, DE</w:t>
      </w:r>
    </w:p>
    <w:p>
      <w:r>
        <w:rPr>
          <w:b/>
        </w:rPr>
        <w:t xml:space="preserve">Quelle: </w:t>
      </w:r>
      <w:r>
        <w:t>https://mcp.opencaselaw.ch/entscheid/fr_gerichte_605_2019_28</w:t>
      </w:r>
    </w:p>
    <w:p>
      <w:r>
        <w:t>FR: FR_GERICHTE 605 2019 28 du 12 décembre 2019</w:t>
      </w:r>
    </w:p>
    <w:p>
      <w:r>
        <w:t>IT: FR_GERICHTE 605 2019 28 del 12 dicembre 2019</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29. Januar 2019 gegen den Einspracheentscheid der Vorinstanz vom 17. Dezember 2018 ist unter der Berücksichtigung des Fristenstillstandes vom 18. Dezember bis und mit 2. Januar (Art. 38 Abs. 4 des Bundesgesetzes vom 6. Oktober 2000 über den Allgemeinen Teil des Sozialversicherungsrechts [ATSG; SR 830.1]), welches hier aufgrund von Art. 1 Abs. 1 des Bundesgesetzes vom 25. Juni 1982 über die obligatorische Arbeitslosenversicherung und Insolvenzentschädigung [AVIG, SR 837.0] zur Anwendung kommt) fristgerecht bei der sachlich und örtlich zuständigen Beschwerdeinstanz eingereicht worden. Die Beschwerdeführerin ist zur Einreichung der Beschwerde befugt, da sie vom angefochtenen Einspracheentscheid unmittelbar berührt ist und ein schutzwürdiges Interesse hat, dass das Kantonsgericht, I. Sozialversicherungs- gerichtshof, überprüft, ob die Rückforderung der Vorinstanz zu Recht erfolgte. Auf die Beschwerde ist daher – vorbehaltlich der nachfolgenden Erwägungen – einzutreten.</w:t>
      </w:r>
    </w:p>
    <w:p>
      <w:r>
        <w:rPr>
          <w:b/>
        </w:rPr>
        <w:t>E. 2.1</w:t>
      </w:r>
    </w:p>
    <w:p>
      <w:r>
        <w:t>Entsprechend der Regelung von Art. 31 ATSG ist jede wesentliche Änderung in den für eine Leistung massgebenden Verhältnissen von den Bezügern, ihren Angehörigen oder Dritten, denen die Leistung zukommt, dem Versicherungsträger oder dem jeweils zuständigen Durchführungsor- gan zu melden (Abs. 1). Erhält eine an der Durchführung der Sozialversicherung beteiligte Person oder Stelle Kenntnis davon, dass sich die für die Leistung massgebenden Verhältnisse geändert haben, so ist dies dem Versicherungsträger zu melden (Abs. 2). Ob eine Meldepflicht besteht, beurteilt sich nach den konkreten Umständen des Einzelfalls. Mass- gebend ist die Umschreibung der Aufmerksamkeit, welche der meldepflichtigen Person oder Stelle zumutbar ist. Dabei ist etwa auf die Fähigkeiten und den Bildungsstand der betreffenden Person abzustellen. Zudem ist auch von Bedeutung, dass die Person in unzweideutiger Form auf konkrete Meldepflichten hingewiesen wird (KIESER, ATSG-Kommentar, 3. Aufl. 2015, Art. 31 N. 12 f.). Für den Tatbestand der Meldepflichtverletzung ist ein schuldhaftes Fehlverhalten erforderlich, wobei nach ständiger Rechtsprechung bereits eine leichte Fahrlässigkeit genügt (BGE 112 V 97 E. 2a mit Hinweis auf BGE 110 V 180 E. 3c mit Hinweisen). Die leistungsbeziehende Person wird nicht dadurch entlastet, dass eine andere Sozialversicherung, die Kenntnis von der Sachverhalts- änderung erhalten hat, diese Kenntnis nicht weiterleitet (KIESER, ATSG-Kommentar, 3. Aufl. 2015, Art. 31 N. 27 mit Hinweis auf Urteil EVG P 7/06 vom 22. August 2006 E. 4.2). Kantonsgericht KG Seite 4 von 8 Hat sich ein Meldepflichtiger eine Verletzung dieser Obliegenheit zuschulden kommen lassen und ist ihm daraus kraft des Gesetzes die Pflicht zur Rückerstattung der unrechtmässig ausgerichteten Leistungen erwachsen, so stellt sich – auf entsprechendes Gesuch hin – die Frage, ob ihm der Erlass der Rückerstattungspflicht gewährt werden kann.</w:t>
      </w:r>
    </w:p>
    <w:p>
      <w:r>
        <w:rPr>
          <w:b/>
        </w:rPr>
        <w:t>E. 2.2</w:t>
      </w:r>
    </w:p>
    <w:p>
      <w:r>
        <w:t>Nach Art. 95 Abs. 1 AVIG richtet sich mit Ausnahme der Fälle von Art. 55 und Art. 59cbis Abs.</w:t>
      </w:r>
    </w:p>
    <w:p>
      <w:r>
        <w:rPr>
          <w:b/>
        </w:rPr>
        <w:t>E. 4</w:t>
      </w:r>
    </w:p>
    <w:p>
      <w:r>
        <w:t>Im Ergebnis ist daher festzuhalten, dass die Vorinstanz das Erlassgesuch betreffend die Rücker- stattung von CHF 23'278.90 zu Recht abgewiesen hat, da die Beschwerdeführerin beim Erhalt der zu Unrecht bezogenen Leistungen nicht gutgläubig war. Die Beschwerde ist folglich abzuweisen, soweit überhaupt darauf einzutreten ist, und der angefochtene Einsprachentscheid ist zu bestäti- gen.</w:t>
      </w:r>
    </w:p>
    <w:p>
      <w:r>
        <w:rPr>
          <w:b/>
        </w:rPr>
        <w:t>E. 5</w:t>
      </w:r>
    </w:p>
    <w:p>
      <w:r>
        <w:t>Gemäss dem hier zur Anwendung kommenden Prinzip der Kostenlosigkeit des Verfahrens werden keine Gerichtskosten erhoben. Es besteht kein Anspruch auf Parteientschädigung. (Dispositiv auf der nächsten Seite) Kantonsgericht KG Seite 8 von 8 Der Hof erkennt: I. Die Beschwerde wird abgewiesen, soweit überhaupt darauf einzutreten ist.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12. Dezember 2019/dgr/nch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