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255 vom 19. November 2020</w:t>
      </w:r>
    </w:p>
    <w:p>
      <w:r>
        <w:t>FR Kantonsgericht, 2020-11-19, FR</w:t>
      </w:r>
    </w:p>
    <w:p>
      <w:r>
        <w:rPr>
          <w:b/>
        </w:rPr>
        <w:t xml:space="preserve">Quelle: </w:t>
      </w:r>
      <w:r>
        <w:t>https://mcp.opencaselaw.ch/entscheid/fr_gerichte_605_2019_255</w:t>
      </w:r>
    </w:p>
    <w:p>
      <w:r>
        <w:t>FR: FR_GERICHTE 605 2019 255 du 19 novembre 2020</w:t>
      </w:r>
    </w:p>
    <w:p>
      <w:r>
        <w:t>IT: FR_GERICHTE 605 2019 255 del 19 novembre 2020</w:t>
      </w:r>
    </w:p>
    <w:p>
      <w:pPr>
        <w:pStyle w:val="Heading2"/>
      </w:pPr>
      <w:r>
        <w:t>Regeste</w:t>
      </w:r>
    </w:p>
    <w:p>
      <w:r>
        <w:t>Arrêt de la Ie Cour des assurances sociales du Tribunal cantonal | Invalidenversicherung</w:t>
      </w:r>
    </w:p>
    <w:p>
      <w:pPr>
        <w:pStyle w:val="Heading2"/>
      </w:pPr>
      <w:r>
        <w:t>Erwägungen</w:t>
      </w:r>
    </w:p>
    <w:p>
      <w:r>
        <w:rPr>
          <w:b/>
        </w:rPr>
        <w:t>E. 6</w:t>
      </w:r>
    </w:p>
    <w:p>
      <w:r>
        <w:t>décembre 2016. Par décision du 4 janvier 2019, la SUVA a maintenu un degré d'invalidité inchangé à 10% mais versé une IPAI complémentaire de Fr. 6'300,- correspondant à un taux supplémentaire de 5%. La décision quant au droit à la rente a été confirmée sur opposition le 23 avril 2019. Un recours (605 2019 121) contre cette décision a été déposé au Tribunal cantonal le 14 mai 2019. D. Parallèlement à la procédure devant l'assurance-accidents, le 11 février 2014, l'assuré a déposé une demande de prestations auprès de l'Office de l'assurance-invalidité du canton de Fribourg (ci-après: OAI) en raison de son atteinte au poignet gauche. Dans le cadre l'intervention précoce, l'OAI a pris en charge des cours de français du 10 juin 2014 au 11 juillet 2014, une formation de cariste (cours et examen) du 14 juillet 2014 au 17 juillet 2014 et un coaching individuel du 11 mars 2015 au 11 juin 2015. Le 7 octobre 2015, il a mis fin à la phase d'intervention précoce. Avis pris auprès du Service médical régional (ci-après: SMR), par décision du 30 mai 2018, reprenant un projet du 16 mars 2018, l'OAI a rejeté la demande de prestations, se fondant sur un degré d'invalidité de 3.26%.</w:t>
      </w:r>
    </w:p>
    <w:p>
      <w:r>
        <w:t>Tribunal cantonal TC Page 3 de 8 E. Le 31 octobre 2018, l'assuré a déposé une nouvelle de demande de prestations devant l'OAI, indiquant son atteinte au poignet gauche présente depuis septembre 2010. Le 13 novembre 2018, l'Office a annoncé son projet de ne pas entrer en matière sur cette nouvelle demande. Après avoir pris avis auprès du SMR, il a confirmé ce projet par décision du</w:t>
      </w:r>
    </w:p>
    <w:p>
      <w:r>
        <w:rPr>
          <w:b/>
        </w:rPr>
        <w:t>E. 9</w:t>
      </w:r>
    </w:p>
    <w:p>
      <w:r>
        <w:t>janvier 2019. F. Le 25 février 2019, l'assuré a informé l'OAI que son état de santé s'était péjoré, transmettant un rapport de son psychiatre traitant. Le 25 mars 2019, il a déposé une nouvelle demande de prestations, indiquant notamment avoir "de plus en plus de problème[s] psychiques[s] du[s] à [s]on handicap du poign[et] gauche". Se référant à un rapport de son SMR, par décision du 3 septembre 2019, reprenant un projet du 20 mai 2019, l'OAI n'est pas entré en matière sur cette nouvelle demande. G. Contre cette décision, l'assuré, représenté par Me Charles Guerry, avocat, interjette recours devant le Tribunal cantonal le 30 septembre 2019 concluant, avec suite de frais et dépens, à ce que l'OAI entre en matière sur la nouvelle demande. A l'appui de son recours, il se prévaut des rapports de son psychiatre et de son chirurgien, lesquels attesteraient de son incapacité totale à travailler. Il conteste par ailleurs les conclusions du médecin du SMR, lesquelles ne sont pas fondées sur un examen médical et rendues par un spécialiste en anesthésiologie. Le 4 octobre 2019, l'assuré s'est acquitté de l'avance de frais de CHF 400.- requise. Dans ses observations du 11 novembre 2019, l'OAI propose le rejet du recours, renvoyant aux pièces du dossier ainsi qu'à la motivation de sa décision.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 2. 2.1.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w:t>
      </w:r>
    </w:p>
    <w:p>
      <w:r>
        <w:t>Tribunal cantonal TC Page 4 de 8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w:t>
      </w:r>
    </w:p>
    <w:p>
      <w:r>
        <w:rPr>
          <w:b/>
        </w:rPr>
        <w:t>E. 12</w:t>
      </w:r>
    </w:p>
    <w:p>
      <w:r>
        <w:t>février et du 12 juillet 2019, le psychiatre évoque le diagnostic d'un épisode dépressif moyen à grave ayant une origine multifactorielle. Il atteste d'une aggravation de la situation entre les premières consultations de 2018 et celles de 2019. Selon lui, son patient n'est plus en mesure de travailler à plein rendement, évaluant une baisse de la capacité de travail à 70 ou 50% (dossier OAI, p. 1'209 et p. 1'272). Le psychiatre fait dès lors expressément état d'une aggravation de la situation en comparant deux situations clairement déterminées dans le temps. Par ailleurs, comparée à la situation évoquée par les médecins de la D.________ et le psychologue en 2016-2017, le psychiatre rapporte une aggravation, la situation décrite passant de simples traits dépressifs à une dépression moyenne, voire grave. Par ces deux rapports, l'existence d'une aggravation de la situation a donc été rendue plausible. 3.3. Pour s'y opposer, l'OAI se prévaut pour sa part de l'avis du Dr H.________, spécialiste en anesthésiologie, du SMR. Dans son rapport du 14 mai 2019, le médecin estime que l'état psychique du recourant est "la conséquence et non pas la cause de l'arrêt de travail" et que, par définition, il s'agit d'une atteinte "de faible gravité et non durable, ne justifiant pas une incapacité de travail permanente ou de longue durée au sens de l'AI" (dossier OAI, p. 1'239). Dans son rapport du 2 septembre 2019, il reproche au psychiatre de ne donner ni symptômes cliniques, ni limitations fonctionnelles et ni exigibilité médicale tout en plaidant "pour une aide à la réinsertion professionnelle, ce qui confirme une capacité de travail dans une activité adaptée" (dossier OAI, p. 1'277). Cependant, l'argumentation employée par le médecin du SMR fait l'impasse sur de nombreux éléments relevés par le médecin traitant. Ainsi, lorsque le médecin SMR fait reproche au psychiatre traitant de ne citer ni limitations fonctionnelles ni exigibilité médicale, il ignore que celui- ci fait pourtant expressément état d'"une baisse de la capacité à 70 ou 50 % sur le plan psychiatrique" dans son rapport du 12 février 2019. De même, si le médecin du SMR regrette l'absence de symptômes cliniques, le psychiatre traitant fait pourtant mention de "signes d'épuisement psychique, des troubles du sommeil liés à son état psychique, une diminution de la motivation et du moral". Par ailleurs, les deux rapports du SMR font globalement référence à la classification médicale (CIM-10) pour écarter la validité du diagnostic (principal) de trouble de l'adaptation. Pour autant, il ne se détermine pas sur les incidences concrètes de ce trouble pour l'assuré. Cet automatisme ne</w:t>
      </w:r>
    </w:p>
    <w:p>
      <w:r>
        <w:t>Tribunal cantonal TC Page 7 de 8 peut être cautionné alors que l’analyse de l'influence des troubles psychiques sur la capacité de travail doit être fondée sur 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Enfin, l'anesthésiologiste tend à réinterpréter les éléments retenus par le psychiatre traitant. Ainsi, il indique que "les symptômes décrits corroborent un trouble de l'adaptation, au sens de la définition de la CIM-10", écartant sans motivation le diagnostic d'"épisode dépressif moyen à sévère" mentionné par le psychiatre traitant. Or, l'on ne saurait suivre l'avis d'un médecin qui procède à une démarche diagnostique dans un domaine qui n'est pas le sien pour s'opposer à l'avis du seul spécialiste interrogé et cela sans même avoir examiné l’assurée. Ainsi qu'il a déjà été rappelé à l'OAI à de nombreuses reprises, cela dépasse le rôle de conseil qui est reconnu au SMR, lequel ne peut qu'indiquer quelle opinion médicale il convient de suivre ou, cas échéant, de proposer des investigations complémentaires. Tel est d'autant plus le cas lorsqu'il ne se fonde pas sur un examen clinique, comme en l'espèce (cf. notamment arrêts TC FR 608 2020 6 du 22 septembre 2020 ; 608 2019 181 du 5 décembre 2019; 608 2018 141 du 22 mai 2019; 608 2018 163 du 14 mars 2019; 608 2018 1 du 20 juillet 2018; 608 2017 158 du 27 juin 2018; 608 2017 216 du 7 mars 2018; 608 2017 17 du 6 mars 2018; 608 2017 88 du 11 septembre 2017; 608 2016 261 du 31 juillet 2017; 608 2016 120 du 9 juin 2017). A ce stade, il apparaît essentiel de rappeler que la procédure de la non-entrée en matière vise à éviter que l'administration ait à traiter sans cesse des demandes de prestations identiques et non justifiées en détail, c'est-à-dire ne présentant pas de changement dans les faits (cf. ATF 109 V 264 consid. 3). Tel n'est manifestement pas le cas en l'espèce à lire les différents rapports médicaux du Dr G.________, lesquels attestent expressément, de manière argumentée et détaillée, de l'aggravation de la situation. Ainsi, même si les doutes soulevés par le médecin du SMR étaient fondés, l'OAI ne pouvait dans ce cas pas se contenter de l'avis de son médecin-conseil pour rendre une décision. Au contraire aurait-il dû, en pareilles circonstances, requérir un avis médical autorisé. 3.4. Au vu de ce qui précède, la Cour ne peut confirmer le refus d'entrer en matière, l'aggravation de l'état de santé de l'assurée ayant été rendu plausible. Dans ce contexte, il n'est pas pertinent d'examiner plus en détail l'impact des troubles somatiques sur l'état de l'assuré. Il appartiendra en effet à l'OAI de procéder aux mesures d'instruction qu'il estimera nécessaire dans la mesure où le dossier lui est renvoyé. 4. 4.1 Le recours doit être admis, la décision de l'OAI annulée et le dossier renvoyé à l'autorité intimée pour qu'elle entre en matière sur la nouvelle demande déposée par son assuré. 4.2. La procédure n'étant pas gratuite, les frais de justice, fixés à CHF 400.-, sont mis à la charge de l'autorité intimée qui succombe. Le recourant se voit remboursé l'avance de frais de CHF 400.- versée. 4.3. Obtenant gain de cause, la recourante a droit à une indemnité de partie. Le 26 novembre 2019, son mandataire a transmis sa liste de frais, d'un montant total de</w:t>
      </w:r>
    </w:p>
    <w:p>
      <w:r>
        <w:t>Tribunal cantonal TC Page 8 de 8 CHF 2'010.87, à savoir CHF 1'845.81 au titre d'honoraires (7:23 heures à CHF 250.-), CHF 21.30 au titre de frais et CHF 143.76 au titre de la TVA. Ce montant est mis à la charge de l'OAI qui succombe. la Cour arrête : I. Le recours est admis. Partant, la décision du 22 novembre 2019 est annulée et le dossier renvoyé à l'autorité intimée pour qu'elle entre en matière. II. Les frais de justice, fixés à CHF 400.-, sont mis à la charge de l'autorité intimée. III. L'avance de frais de CHF 400.- est restituée au recourant. IV. L'indemnité de partie est fixée à CHF 2'010.87, y compris CHF 143.76 au titre de la TVA, et mise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