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149 vom 29. April 2020</w:t>
      </w:r>
    </w:p>
    <w:p>
      <w:r>
        <w:t>FR Kantonsgericht, 2020-04-29, FR</w:t>
      </w:r>
    </w:p>
    <w:p>
      <w:r>
        <w:rPr>
          <w:b/>
        </w:rPr>
        <w:t xml:space="preserve">Quelle: </w:t>
      </w:r>
      <w:r>
        <w:t>https://mcp.opencaselaw.ch/entscheid/fr_gerichte_605_2019_149</w:t>
      </w:r>
    </w:p>
    <w:p>
      <w:r>
        <w:t>FR: FR_GERICHTE 605 2019 149 du 29 avril 2020</w:t>
      </w:r>
    </w:p>
    <w:p>
      <w:r>
        <w:t>IT: FR_GERICHTE 605 2019 149 del 29 aprile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3</w:t>
      </w:r>
    </w:p>
    <w:p>
      <w:r>
        <w:t>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w:t>
      </w:r>
    </w:p>
    <w:p>
      <w:r>
        <w:t>Tribunal cantonal TC Page 4 de 16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w:t>
      </w:r>
    </w:p>
    <w:p>
      <w:r>
        <w:rPr>
          <w:b/>
        </w:rPr>
        <w:t>E. 3.3.2</w:t>
      </w:r>
    </w:p>
    <w:p>
      <w:r>
        <w:t>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w:t>
      </w:r>
    </w:p>
    <w:p>
      <w:r>
        <w:rPr>
          <w:b/>
        </w:rPr>
        <w:t>E. 3.4</w:t>
      </w:r>
    </w:p>
    <w:p>
      <w:r>
        <w:t>Enfin, selon la jurisprudence, l’évaluation du taux d’invalidité par l’assurance-invalidité n’a en principe pas de force contraignante pour l’assureur-accidents (ATF 131 V 362).</w:t>
      </w:r>
    </w:p>
    <w:p>
      <w:r>
        <w:t>Tribunal cantonal TC Page 5 de 16</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t>Tribunal cantonal TC Page 6 de 16</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w:t>
      </w:r>
    </w:p>
    <w:p>
      <w:r>
        <w:rPr>
          <w:b/>
        </w:rPr>
        <w:t>E. 5</w:t>
      </w:r>
    </w:p>
    <w:p>
      <w:r>
        <w:t>Est tout d’abord litigieuse la détermination du taux d’invalidité de la recourante, cette dernière l’estimant à 36%. Qu’en est-il ?</w:t>
      </w:r>
    </w:p>
    <w:p>
      <w:r>
        <w:rPr>
          <w:b/>
        </w:rPr>
        <w:t>E. 5.1</w:t>
      </w:r>
    </w:p>
    <w:p>
      <w:r>
        <w:t>Accidents et évolution</w:t>
      </w:r>
    </w:p>
    <w:p>
      <w:r>
        <w:rPr>
          <w:b/>
        </w:rPr>
        <w:t>E. 5.1.1</w:t>
      </w:r>
    </w:p>
    <w:p>
      <w:r>
        <w:t>Alors âgée de 53 ans, la recourante, aide-infirmière de formation alors au chômage, a été victime d’un premier accident de la circulation le 10 avril 2016. Elle a été renversée par une moto alors qu’elle circulait à vélo avec son époux. Une fracture diaphysaire multi-fragmentaire du cubitus gauche a été décelée, réduite par ostéosynthèse (rapport du 27 avril 2016, dossier SUVA I, pièce 13). Une fracture du processus coracoïde de l’épaule gauche était aussi signalée, celle-ci toutefois traitée « conservativement » (pièce précitée). A côté de cela, on observait un traumatisme crânien sans perte de connaissance ni amnésie circonstancielle, des troubles de la marche liés aux douleurs, des contusions au niveau des côtes, une plaie au niveau du fémur gauche distal et, déjà, un trouble dépressif réactionnel. Un status post-cure hernie discale L3-L4 gauche en 2012 et décompression complémentaire en avril 2013 était encore évoqué.</w:t>
      </w:r>
    </w:p>
    <w:p>
      <w:r>
        <w:t>Tribunal cantonal TC Page 7 de 16</w:t>
      </w:r>
    </w:p>
    <w:p>
      <w:r>
        <w:rPr>
          <w:b/>
        </w:rPr>
        <w:t>E. 5.1.2</w:t>
      </w:r>
    </w:p>
    <w:p>
      <w:r>
        <w:t>Elle a séjourné un mois à la Clinique romande de réadaptation (CRR), du 3 mai au 3 juin 2016. Elle se plaignait alors essentiellement de douleurs « prédominant à la nuque et à l’épaule gauche, au niveau des clavicules et du trapèze gauche ». Elle présentait « également des douleurs au regard de la fracture de l’avant-bras gauche, d’une intensité au repos à 3/10, qui se péjorent lors de la prosupination, ou en inclinaison du poignet gauche ». Elle signalait, enfin, « des douleurs de la cheville droite » (rapport du 27 juin 2016, dossier SUVA I, pièce 35). De nouveaux diagnostics ont été posés au cours du séjour : « contusion osseuse malléolaire à la cheville droite, entorse bénigne du LLI et contusions osseuses du condyle fémoral interne de la trochlée au genou gauche », un « épisode dépressif léger avec syndrome somatique », un « TCC modéré avec troubles attentionnels modérés », et « une surdité de perception à droite moyenne, à 50 dsbl en plateau ». Les spécialistes de la CRR relevaient par ailleurs « des facteurs contextuels influençant négativement les aptitudes fonctionnelles rapportées par la patiente de nature anxieuse et très appliquée et qui reste très affectée par ses limitations attentionnelles et la fatigabilité ».</w:t>
      </w:r>
    </w:p>
    <w:p>
      <w:r>
        <w:rPr>
          <w:b/>
        </w:rPr>
        <w:t>E. 5.1.3</w:t>
      </w:r>
    </w:p>
    <w:p>
      <w:r>
        <w:t>En été 2016, la situation se péjorait : « depuis sa rentrée à domicile, l’évolution est défavorable avec des limitations hyperalgiques au niveau de son rachis cervical, de son épaule gauche, de son poignet gauche ainsi que de son genou droit » (rapport de l’Hôpital de Riaz du 1er juillet 2016, dossier SUVA I, pièce 36). Elle a dès lors été ré-hospitalisée à la CRR, du 11 juillet au 23 août 2016 (rapport du 26 septembre 2016, dossier SUVA I, pièce 79, p. 2 et ss). Les plaintes et limitations fonctionnelles décrites étaient les douleurs de l’épaule gauche, localisées vers l’arrière, en regard du « V » deltoïdien et du biceps, passant d’une intensité de 4/10 au repos à 10/10 en mouvement. Une raideur était signalée à la nuque, avec occasionnellement des décharges électriques dans les trapèzes, surtout à gauche. L’avant-bras gauche restait douloureux, ainsi que le genou gauche. Et à la cuisse droite, il y avait une séquelle non résorbée. La marche était gênée à cause des douleurs à la cheville droite. Quant au « moral », la recourante indiquait « ne pas avoir pu se rendre chez un psychologue », pourtant conseillé à l’issue du premier séjour. Les diagnostics supplémentaires suivants ont alors été retenus : « capsulite rétractile de l’épaule gauche », un « sérome de la cuisse droite », une « possible légère irritation du plexus brachial gauche, sans retentissement électrophysiologique ». Le spécialiste en chirurgie orthopédique pensait, pour sa part, que la recourante était « en train de développer une épaule gelée dans les suites de son traumatisme », lui expliquant cependant « bien que ce n’était pas la fracture de la coracoïde qui était à l’origine des plaintes actuelles. Chez cette patiente quelque peu anxieuse, très braquée sur cette épaule, il faut à tout prix la rassurer quant à son futur » (dossier SUVA I, pièce 79 p. 31). Selon lui, il allait « de soi » qu’il n’y avait aucun geste chirurgical à recommander.</w:t>
      </w:r>
    </w:p>
    <w:p>
      <w:r>
        <w:t>Tribunal cantonal TC Page 8 de 16</w:t>
      </w:r>
    </w:p>
    <w:p>
      <w:r>
        <w:rPr>
          <w:b/>
        </w:rPr>
        <w:t>E. 5.1.4</w:t>
      </w:r>
    </w:p>
    <w:p>
      <w:r>
        <w:t>A la fin du mois de décembre 2016, la recourante était victime d’un nouvel accident de la route, étant emboutie par l’arrière alors qu’elle était au volant de sa voiture (dossier SUVA II, pièce 3). Un rapport IRM ne révélait toutefois aucun trouble statique, l’alignement des murs antérieurs et postérieurs était conservé. Une discopathie débutante était remarquée au niveau C5-C6, avec un discret bombement discal sans conflit radiculaire toutefois (rapport du 6 janvier 2017, dossier SUVA I, pièce 137). Il n’y avait donc « pas de lésion post-traumatique décelable », mais « une discopathie dégénérative débutante ». Plus tard, au mois de mai 2017, de nouveaux examens ne montreront pas non plus d’argument en faveur d’une hernie ni d’un conflit radiculaire, ni aucune lésion inflammatoire ou tumorale.</w:t>
      </w:r>
    </w:p>
    <w:p>
      <w:r>
        <w:rPr>
          <w:b/>
        </w:rPr>
        <w:t>E. 5.1.5</w:t>
      </w:r>
    </w:p>
    <w:p>
      <w:r>
        <w:t>Au début de l’année 2017, la recourante disait ressentir encore des douleurs au niveau de sa nuque, ainsi que des vertiges et des maux de tête. Selon elle, ses troubles étaient présents depuis son premier accident et ils auraient été accentués par le second (dossier SUVA I, pièce 134). En février 2017, le Dr B.________, psychologue-psychothérapeute, indiquait qu’elle souffrait d’un état de stress post-traumatique suite au premier accident de la route, cet état se manifestant par une forte réactivité émotionnelle, une détresse lorsqu’elle évoque cet évènement dont elle n’aurait cependant pas de souvenir, une importante fatigue, une anxiété persistante et un sommeil perturbé (rapport du 6 février 2017, dossier SUVA I, pièce 140). Il précisait cependant n’en être qu’au début de cette thérapie et concédait qu’il était difficile de faire un pronostic, néanmoins, la première et unique séance d’EMDR à ce jour avait semblé soulager quelque peu la recourante.</w:t>
      </w:r>
    </w:p>
    <w:p>
      <w:r>
        <w:rPr>
          <w:b/>
        </w:rPr>
        <w:t>E. 5.2</w:t>
      </w:r>
    </w:p>
    <w:p>
      <w:r>
        <w:t>Exigibilité médicale Les médecins de la SUVA ont évalué la capacité de travail de la recourante.</w:t>
      </w:r>
    </w:p>
    <w:p>
      <w:r>
        <w:rPr>
          <w:b/>
        </w:rPr>
        <w:t>E. 5.2.1</w:t>
      </w:r>
    </w:p>
    <w:p>
      <w:r>
        <w:t>Au mois de mars 2018, le Dr C.________, spécialiste en médecine interne générale, jugeait que la recourante pouvait travailler au minimum à 50% « dans l’exercice d’une activité réalisée en dessous du plan du thorax, sans port de charge supérieure à 5 kg avec l’aide du membre supérieur gauche, sans activité occasionnant des vibrations ou des chocs au niveau du poignet ou de la main gauche, sans travaux réalisés en force à l’aide du poignet ou de la main gauche, dans activités nécessitant des déplacements rapides, sans déplacement prolongé en terrain instable, sans l’utilisation répétée d’escaliers, sans devoir s’agenouiller ou s’accroupir, dans une activité idéalement réalisée à sa guise en position assise ou debout » (examen final du 16 mars 2018, dossier SUVA I, pièce 203). Il laissait toutefois entendre qu’une évaluation en atelier pouvait s’avérer utile pour déterminer une capacité de travail supérieure, tenant également compte de la fatigabilité de la recourante, celle-ci ne travaillant au demeurant qu’à temps partiel depuis de nombreuses années. Il faisait enfin remarquer que cette dernière se disait « encore très dé-sécurisée par rapport à sa situation. Elle est toujours inquiète par rapport à sa fatigabilité, son trouble de l’humeur qui n’est</w:t>
      </w:r>
    </w:p>
    <w:p>
      <w:r>
        <w:t>Tribunal cantonal TC Page 9 de 16 pas encore résolu, puis par la perte de son emploi parfaitement adapté à sa situation, qu’elle exerçait à raison de 20% par semaine (3 matins à deux heures et demi) ». A l’appui de ses conclusions, il relevait notamment que les amplitudes, en dépit des douleurs toujours rapportées plus particulièrement au niveau de l’épaule, de l’avant bras et du genou gauches, les amplitudes articulaires étaient, en tous les cas pour l’épaule et l’avant-bras, nettement améliorées depuis la sortie de la CRR, étant même proches de la normale à l’épaule, et normales au poignet. Quant au genou gauche, il se présentait sec et stable, sa mobilité étant normale. Aucune intervention n’était prévue ni justifiée.</w:t>
      </w:r>
    </w:p>
    <w:p>
      <w:r>
        <w:rPr>
          <w:b/>
        </w:rPr>
        <w:t>E. 5.2.2</w:t>
      </w:r>
    </w:p>
    <w:p>
      <w:r>
        <w:t>Huit mois plus tard, mois de novembre 2018, le dossier fut soumis à de nouveaux spécialistes internes, la Dresse D.________, spécialiste en chirurgie générale et traumatologie, et au Dr E.________, spécialiste en chirurgie orthopédique et traumatologie de l’appareil locomoteur (appréciation orthopédique du 15 novembre 2018, dossier SUVA I, pièce 231).</w:t>
      </w:r>
    </w:p>
    <w:p>
      <w:r>
        <w:rPr>
          <w:b/>
        </w:rPr>
        <w:t>E. 5.2.2.1</w:t>
      </w:r>
    </w:p>
    <w:p>
      <w:r>
        <w:t>Ils parvinrent à la conclusion que seuls les troubles de l’épaule non dominante gauche ainsi que les troubles auditifs à droite pouvaient être attribués à un degré de vraisemblance prépondérante à l’accident du 10 avril 2016. On pouvait selon eux admettre une pleine capacité de travail dans une activité adaptée, cela sans limitation d’horaire ni de rendement.</w:t>
      </w:r>
    </w:p>
    <w:p>
      <w:r>
        <w:rPr>
          <w:b/>
        </w:rPr>
        <w:t>E. 5.2.2.2</w:t>
      </w:r>
    </w:p>
    <w:p>
      <w:r>
        <w:t>Reprenant chacune des atteintes signalées à la suite de l’accident, ils relevaient notamment ceci : - au niveau du poignet gauche, la force était certes diminuée de 24%, mais il n’y avait aucune dystrophie, le traitement n’ayant occasionnée aucune complication, notamment pas après l’ablation du matériel d’ostéosynthèse; - au niveau de l’épaule gauche, il y avait une fonction proche de la normale, la légère limitation de la mobilité en flexion et en abduction permettant de dépasser l’horizontale de plus de 30°. Il n’y avait aucune dystrophie ou amyotrophie manifeste. Les mises sous contrainte de la coiffe provoquaient encore des douleurs, celles-ci se prolongeant à la main; - au niveau du TCC, les examens neuropsychologiques montraient déjà un retour à la normale au mois de juillet 2016; - au niveau du thorax, de seules contusions avaient été signalées, résorbées dans les deux mois suivant l’accident; - concernant la plaie distale de la cuisse gauche, aucun rapport ne révèleraient de limitations fonctionnelles; - au niveau de la cheville droite, une seule contusion tout à fait bénigne avait été observée au mois de mai 2016, et une désinsertion partielle d’un des trois faisceaux ligamentaires externes était censée guérir sans séquelles après quelques semaines tout au plus, ce qui était confirmé par le fait qu’il n’y avait plus eu de plaintes ni de traitement plus tard;</w:t>
      </w:r>
    </w:p>
    <w:p>
      <w:r>
        <w:t>Tribunal cantonal TC Page 10 de 16 - au niveau du genou gauche, la contusion osseuse et la lésion « non rupturée » du ligament seraient censées guérir dans un délai de trois mois et apparaissaient résorbées en automne 2016 selon un IRM. Une arthroscopie subie une année plus tard aurait révélé « une chondromalacie grade I à IV pour ce qui concernait le compartiment interne et fémoro-rotulien », là où des altérations dégénératives avaient déjà été remarquées au mois de mai 2016; - au niveau de la cuisse droite, l’atteinte ne pouvait être jugée majeure au regard de l’hématome signalé en été 2016, une hernie musculaire n’ayant du reste pas pu être identifiée; - au niveau du plexus brachial gauche, l’atteinte était jugée minime (légères dysparesthésies distales des doigts 2, 3 et 5 à gauche), sans répercussion fonctionnelle; - enfin, concernant l’état dépressif léger avec syndrome somatique, il n’occasionnait aucune limitation fonctionnelle au vu des examens neurologiques réalisés à la CRR.</w:t>
      </w:r>
    </w:p>
    <w:p>
      <w:r>
        <w:rPr>
          <w:b/>
        </w:rPr>
        <w:t>E. 5.2.3</w:t>
      </w:r>
    </w:p>
    <w:p>
      <w:r>
        <w:t>Pour leur part, les spécialistes de la CRR avaient certes conclu, à l’issue du second séjour de la recourante à la fin de l’été 2016, à une incapacité de travail de 100%, dans la profession actuelle « de dégustatrice de chocolat » (rapport du 26 septembre 2016, dossier SUVA I, pièce 79). Mais c’était à peine cinq mois après l’accident. Et un rapport d’ergothérapie montrait déjà un pourcentage d’utilisation fonctionnelle de la main gauche de 62%, signalant une bonne évolution durant le séjour au niveau de la mobilité, de l’intégration et de la force, même s’il fallait encore travailler au niveau de l’endurance (dossier SUVA I, pièce 79, p. 13). Au plan locomoteur, la coopération était jugée « élevée, malgré les plaintes constantes et le fait que la patiente se centre beaucoup sur ses douleurs et limitations » (dossier SUVA I, pièce 79, p. 11).</w:t>
      </w:r>
    </w:p>
    <w:p>
      <w:r>
        <w:rPr>
          <w:b/>
        </w:rPr>
        <w:t>E. 5.2.4</w:t>
      </w:r>
    </w:p>
    <w:p>
      <w:r>
        <w:t>Au mois de février 2019, le médecin traitant, le Dr F.________, généraliste FMH, préconisait au contraire une reprise du travail à 100% à partir du 28 novembre 2017 (dossier SUVA I, pièce 254). Mais il indiquait que la recourante avait été licenciée suite à une restructuration. Il finissait par faire remarquer que les atteintes, comme la « non guérison » étaient objectivables.</w:t>
      </w:r>
    </w:p>
    <w:p>
      <w:r>
        <w:rPr>
          <w:b/>
        </w:rPr>
        <w:t>E. 5.3</w:t>
      </w:r>
    </w:p>
    <w:p>
      <w:r>
        <w:t>Détermination des revenus A l’appui du calcul du taux d’invalidité, la SUVA a considéré les choses de la manière suivante (dossier SUVA I, pièce 242).</w:t>
      </w:r>
    </w:p>
    <w:p>
      <w:r>
        <w:rPr>
          <w:b/>
        </w:rPr>
        <w:t>E. 5.3.1</w:t>
      </w:r>
    </w:p>
    <w:p>
      <w:r>
        <w:t>Revenu sans invalidité Sans accident, la recourante aurait pu réaliser un gain annuel indexé de CHF 61'542.06, calculé sur la base d’un revenu statistique fondé sur un niveau de compétence 2.</w:t>
      </w:r>
    </w:p>
    <w:p>
      <w:r>
        <w:t>Tribunal cantonal TC Page 11 de 16</w:t>
      </w:r>
    </w:p>
    <w:p>
      <w:r>
        <w:rPr>
          <w:b/>
        </w:rPr>
        <w:t>E. 5.3.2</w:t>
      </w:r>
    </w:p>
    <w:p>
      <w:r>
        <w:t>Revenu d’invalide Au vu des descriptions de postes de travail adapté, c’est un salaire annuel moyen de CHF 57'145.- qui pouvait encore être réalisé par elle. Ces postes étaient ceux de « découpeuse » de pièces de quelques grammes pour l’industrie horlogère, la médecine, l’aviation ou les machines à tricoter, d’« employée au polissage » pour l’industrie horlogère, d’ouvrière en « assemblage général » d’instruments et système de mesure, en « affûtage » de produits dentaires, et en « rectifiage et en finition de pièces destinées à l’horlogerie » (dossier SUVA, pièce 232).</w:t>
      </w:r>
    </w:p>
    <w:p>
      <w:r>
        <w:rPr>
          <w:b/>
        </w:rPr>
        <w:t>E. 5.3.3</w:t>
      </w:r>
    </w:p>
    <w:p>
      <w:r>
        <w:t>Perte de gain Après comparaison de ces deux revenus, il résultait une perte de gain de 7,14%, soit de moins de 10%.</w:t>
      </w:r>
    </w:p>
    <w:p>
      <w:r>
        <w:rPr>
          <w:b/>
        </w:rPr>
        <w:t>E. 6</w:t>
      </w:r>
    </w:p>
    <w:p>
      <w:r>
        <w:t>Discussion La recourante estime, tout d’abord, que ses limitations fonctionnelles n’ont pas été correctement prises en compte par la SUVA, les jugeant plus étendues. Par ailleurs, elle critique les revenus retenus par cette dernière dans le cadre du calcul du taux.</w:t>
      </w:r>
    </w:p>
    <w:p>
      <w:r>
        <w:rPr>
          <w:b/>
        </w:rPr>
        <w:t>E. 6.1</w:t>
      </w:r>
    </w:p>
    <w:p>
      <w:r>
        <w:t>Le premier grief de la recourante n’est, quoi qu’elle en dise, guère étayé. Elle ne se prévaut en tous les cas d’aucun rapport médical à l’appui de sa thèse, se contentant d’indiquer, dans son mémoire, avoir subi « différentes séquelles physiques et psychiques invalidantes ». Rien ne permet, cela étant, de conclure à la responsabilité de l’assurance-accidents pour des éventuels troubles psychiques ayant résulté de l’accident et qui seraient encore invalidants, les spécialistes de la CRR n’ayant observé qu’une seule baisse de moral après celui-ci, l’état de stress post-traumatique annoncé plus tard au début de l’année 2017 n’étant apparemment plus documenté après une première séance suivie, à la suite de laquelle aucun pronostic ne pouvait être fait. Elle ne critique pas non plus véritablement les évaluations des derniers médecins de la SUVA, qui démontrent assez clairement, au terme d’un rapport détaillé d’une vingtaine de pages, que chacune des atteintes signalées n’a pas été de nature à susciter de plus importantes limitations fonctionnelles. Si le Dr C.________ s’était montré plus réservé, c’était en fait six mois plus tôt et son estimation d’une capacité de 50% au moins laissait entendre, d’une part, que cette capacité pouvait être supérieure et, d’autre part, que des facteurs étrangers à l’accident, de nature psycho-sociale, influençaient le tableau, comme le sentiment d’insécurité et l’angoisse lié à l’avenir après avoir perdu son travail. Son rapport ne saurait, quoi qu’il en soit, être jugé plus pertinent que le rapport ultérieur de deux médecins spécialisés.</w:t>
      </w:r>
    </w:p>
    <w:p>
      <w:r>
        <w:t>Tribunal cantonal TC Page 12 de 16</w:t>
      </w:r>
    </w:p>
    <w:p>
      <w:r>
        <w:rPr>
          <w:b/>
        </w:rPr>
        <w:t>E. 6.2</w:t>
      </w:r>
    </w:p>
    <w:p>
      <w:r>
        <w:t>Concernant les postes de travail sélectionnés, leurs descriptions ne semblent pas non plus devoir faire craindre que la recourante ne soit pas capable de les assumer sur un plan médical. Il s’agit en effet d’activité légère de précision, dans lesquelles l’ouvrière est le plus souvent assistée de machines automatiques lui permettant, par une simple pression du pied, de découper (DPT 351985, dossier SUVA I, pièce 232) ou, par une simple pression du doigt, de polir (DPT 10600819, dossier SUVA I, pièce 232). Pour le reste, force est de constater, et la recourante ne soutient pas le contraire, sinon de manière vague et générale, sur le principe, que ces activités ne semblent pas être incompatibles avec les quelques séquelles laissées par l’accident et qui n’ont nécessité aucun traitement important sur le moyen terme, et en tous les cas plus à partir de la fin de l’année 2017 lorsque le médecin traitant estimait sa patiente capable de reprendre le travail à plein temps.</w:t>
      </w:r>
    </w:p>
    <w:p>
      <w:r>
        <w:rPr>
          <w:b/>
        </w:rPr>
        <w:t>E. 6.3</w:t>
      </w:r>
    </w:p>
    <w:p>
      <w:r>
        <w:t>Cette dernière se réfère par ailleurs essentiellement au calcul du taux qui aurait été fait par l’assurance-invalidité et qui aurait conduit l’OAI à retenir un taux d’invalidité de 17% dans une activité lucrative exercée à mi-temps, qu’elle estime à 34% dans un plein temps. Son raisonnement, purement théorique, ne saurait être suivi. D’une part, parce que ce taux a été calculé en tenant compte, comme elle le reconnait, de limitations plus étendues dont la SUVA n’aurait pas eu connaissance. Si tel est le cas, on peut tout au plus supposer que ces limitations pourraient avoir été causées par des atteintes dont l’assurance-accidents n’a pas à répondre, comme par exemple celles de nature dégénératives observées tant au niveau du genou gauche que des cervicales, voire des lombaires existant déjà en 2012 et en 2013. Aucun des deux accidents ne saurait les avoir causées, à tout le moins cela n’est-il établi par aucun document médical. D’autre part, parce que ce taux a été calculé selon la méthode dite mixte de comparaison des revenus, laquelle ne saurait être réellement applicable en assurance-accidents. Il semblait enfin se baser sur les limitations retenues par le seul Dr C.________, dont on vient de voir que le rapport n’était pas aussi détaillé ni probant que celui, rendu huit mois plus tard par deux autres spécialistes de la SUVA, lesquels avaient même fini par exclure toute une problématique psycho-sociale également mentionnée par le Dr C.________.</w:t>
      </w:r>
    </w:p>
    <w:p>
      <w:r>
        <w:rPr>
          <w:b/>
        </w:rPr>
        <w:t>E. 6.4</w:t>
      </w:r>
    </w:p>
    <w:p>
      <w:r>
        <w:t>La recourante soutient encore implicitement que c’est le dernier revenu réalisé à temps partiel à partir du mois de juin 2018 dans l’accueil extra-scolaire (dossier SUVA I, pièce 274) qui devrait être pris en compte comme revenu sans invalidité, celui-ci exercé à 25% et qui devrait ainsi être simplement multiplié par quatre. Là encore, ce revenu ne saurait être pris en compte par l’assurance-accidents dans la mesure où il n’a pas été réalisé avant la survenance de l’accident, mais environ deux ans plus tard. On aurait à la rigueur pu prendre le revenu de dégustatrice en chocolat, mais celui-ci était probablement réalisé à un moment où la recourante était au chômage et qu’elle réalisait alors probablement un gain intermédiaire.</w:t>
      </w:r>
    </w:p>
    <w:p>
      <w:r>
        <w:t>Tribunal cantonal TC Page 13 de 16 Ayant abandonné le métier d’aide-infirmière avant même d’avoir subi le premier accident, travaillant comme dégustatrice à temps partiel alors qu’elle recherchait un emploi, travaillant aujourd’hui dans l’accueil extra-scolaire, on peut déduire de cette succession d’activités diverses que c’était bien plutôt un revenu statistique qu’il fallait retenir comme revenu sans invalidité, celui- ci estimé sur la base de la formation plutôt modeste de la recourante. C’est ce que la SUVA a finalement fait et, devant tant d’incertitudes, on ne saurait lui reprocher d’avoir choisi un revenu statistique de valide.</w:t>
      </w:r>
    </w:p>
    <w:p>
      <w:r>
        <w:rPr>
          <w:b/>
        </w:rPr>
        <w:t>E. 6.5</w:t>
      </w:r>
    </w:p>
    <w:p>
      <w:r>
        <w:t>Dans l’ensemble, le recours doit ainsi être écarté pour ce qui concerne le droit à la rente. L’on ne saurait en effet déduire, du dossier médical comme du dossier économique, que la perte de gain soit supérieure à 7% au regard des seules séquelles causées par le premier accident, le second n’en ayant laissé aucune. Trois ans plus tard, il n’existe en effet presque plus de limitations au niveau de l’épaule gauche et plus du tout au niveau du poignet gauche et l’on peut dès lors considérer que le droit à la rente n’est, dans ces conditions, pas ouvert. Par ailleurs, en soutenant que le revenu sans invalidité devrait être celui qu’elle a réalisé à partir du mois de juin 2018 et qui est plus élevé, la recourante donne à penser qu’elle ne subit plus de perte de gain : dans son activité de dégustatrice en chocolat réalisée juste avant l’accident, elle était payée, en 2015, CHF 22.56 de l’heure (dossier SUVA I, pièce 92) et elle gagnait dans l’accueil extra-scolaire, en 2018 donc, CHF 28.- de l’heure (dossier SUVA I, pièce 274). A cet égard, il sied enfin de faire remarquer que, dans ses écritures, la recourante semble tenir pour un fait acquis que le taux d’activité de 25% qu’elle a été en mesure d’exercer dans cette dernière activité à partir de l’année 2018 serait un taux maximal, conditionné par son état de santé : or, cela n’est nullement établi sur un plan médical, à tout le moins pas pour ce qui concerne les seules séquelles causées par l’accident.</w:t>
      </w:r>
    </w:p>
    <w:p>
      <w:r>
        <w:rPr>
          <w:b/>
        </w:rPr>
        <w:t>E. 7</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w:t>
      </w:r>
    </w:p>
    <w:p>
      <w:r>
        <w:rPr>
          <w:b/>
        </w:rPr>
        <w:t>E. 7.1</w:t>
      </w:r>
    </w:p>
    <w:p>
      <w:r>
        <w:t>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t>Tribunal cantonal TC Page 14 de 16</w:t>
      </w:r>
    </w:p>
    <w:p>
      <w:r>
        <w:rPr>
          <w:b/>
        </w:rPr>
        <w:t>E. 7.1.1</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7.1.2</w:t>
      </w:r>
    </w:p>
    <w:p>
      <w:r>
        <w:t>L'IPAI se fixe en même temps que la rente d'invalidité ou, lorsqu'il n'existe aucun droit à une rente, à la fin du traitement médical. L'art. 24 al. 2 LAA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w:t>
      </w:r>
    </w:p>
    <w:p>
      <w:r>
        <w:rPr>
          <w:b/>
        </w:rPr>
        <w:t>E. 7.2</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rPr>
          <w:b/>
        </w:rPr>
        <w:t>E. 7.2.1</w:t>
      </w:r>
    </w:p>
    <w:p>
      <w:r>
        <w:t>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w:t>
      </w:r>
    </w:p>
    <w:p>
      <w:r>
        <w:rPr>
          <w:b/>
        </w:rPr>
        <w:t>E. 7.2.2</w:t>
      </w:r>
    </w:p>
    <w:p>
      <w:r>
        <w:t>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w:t>
      </w:r>
    </w:p>
    <w:p>
      <w:r>
        <w:t>Tribunal cantonal TC Page 15 de 16 2009; ATF 124 V 209 consid. 4a/cc, 116 V 156 consid. 3a; RAMA 1998 p. 235, U 245/96 consid. 2a).</w:t>
      </w:r>
    </w:p>
    <w:p>
      <w:r>
        <w:rPr>
          <w:b/>
        </w:rPr>
        <w:t>E. 8</w:t>
      </w:r>
    </w:p>
    <w:p>
      <w:r>
        <w:t>Le recourant considère encore que le dommage corporel que lui a causé l’accident se monterait à 15% et non à seulement 5%, comme l’a retenu la SUVA. Il s’agit, là encore, de se référer au dossier.</w:t>
      </w:r>
    </w:p>
    <w:p>
      <w:r>
        <w:rPr>
          <w:b/>
        </w:rPr>
        <w:t>E. 8.1</w:t>
      </w:r>
    </w:p>
    <w:p>
      <w:r>
        <w:t>Estimation du taux d’indemnité pour atteinte à l’intégrité</w:t>
      </w:r>
    </w:p>
    <w:p>
      <w:r>
        <w:rPr>
          <w:b/>
        </w:rPr>
        <w:t>E. 8.1.1</w:t>
      </w:r>
    </w:p>
    <w:p>
      <w:r>
        <w:t>Dans son examen final du 16 mars 2018 (dossier SUVA I, pièce 203), le Dr C.________ estimait que ni l’atteinte à l’épaule gauche, ni l’atteinte de l’avant-bras gauche, ni celle au genou gauche ne donnait droit à une IPAI. Pour ce qui était d’une éventuelle atteinte de l’ouïe côté droit, il y avait lieu, selon lui, de soumettre le dossier à un confrère compétent en la matière.</w:t>
      </w:r>
    </w:p>
    <w:p>
      <w:r>
        <w:rPr>
          <w:b/>
        </w:rPr>
        <w:t>E. 8.1.2</w:t>
      </w:r>
    </w:p>
    <w:p>
      <w:r>
        <w:t>Le Dr G.________, spécialiste en ORL fixera ce taux à 5% après avoir examiné la recourante (dossier SUVA I, pièce 216). Le Dr C.________ validera cette estimation le 19 septembre 2018 (dossier SUVA I, pièce 227).</w:t>
      </w:r>
    </w:p>
    <w:p>
      <w:r>
        <w:rPr>
          <w:b/>
        </w:rPr>
        <w:t>E. 8.1.3</w:t>
      </w:r>
    </w:p>
    <w:p>
      <w:r>
        <w:t>Par ailleurs, pour la Dresse D.________ et le Dr E.________, l’atteinte à l’épaule gauche, assimilable à « une périarthrite scapulo-humérale légère », n’entrait pas en ligne de compte (appréciation orthopédique du 15 novembre 2018, dossier SUVA I, pièce 231). Aussi ont-ils à leur tour confirmé le taux de 5% pour la seule perte de l’ouïe à droite.</w:t>
      </w:r>
    </w:p>
    <w:p>
      <w:r>
        <w:rPr>
          <w:b/>
        </w:rPr>
        <w:t>E. 8.1.4</w:t>
      </w:r>
    </w:p>
    <w:p>
      <w:r>
        <w:t>La recourante se contente d’invoquer des limitations plus importantes, en citant celles qui ressortiraient selon elle nécessairement des nombreuses atteintes subies et énumérées dans les rapports médicaux rédigés par les médecins de la SUVA et qui devraient être considérées comme portant cumulativement atteinte à son intégrité, à un taux global de 20%. Or, au moment de fixer l’atteinte à l’intégrité, ces derniers médecins avaient estimé que seule la perte de l’ouïe à droite avait pu constituer un dommage corporel. Et la dernière appréciation médicale du 15 novembre 2018 a fini par démontrer dans le détail pourquoi les séquelles légères laissées par l’accident au plan orthopédique ne pouvaient être assimilées à un dommage à l’intégrité physique qu’il y aurait lieu d’indemniser.</w:t>
      </w:r>
    </w:p>
    <w:p>
      <w:r>
        <w:rPr>
          <w:b/>
        </w:rPr>
        <w:t>E. 8.1.5</w:t>
      </w:r>
    </w:p>
    <w:p>
      <w:r>
        <w:t>Ce dernier grief, qui relève au demeurant d’une estimation personnelle étayée par aucun avis médical, est ainsi également écarté.</w:t>
      </w:r>
    </w:p>
    <w:p>
      <w:r>
        <w:rPr>
          <w:b/>
        </w:rPr>
        <w:t>E. 9</w:t>
      </w:r>
    </w:p>
    <w:p>
      <w:r>
        <w:t>Il s’ensuit le rejet du recours. La procédure étant gratuite, il n’est pas perçu de frais de justice. Aucune indemnité n’est enfin allouée à la recourante qui succombe.</w:t>
      </w:r>
    </w:p>
    <w:p>
      <w:r>
        <w:t>Tribunal cantonal TC Page 16 de 16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avril 2020/mbo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