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 vom 20. April 2020</w:t>
      </w:r>
    </w:p>
    <w:p>
      <w:r>
        <w:t>FR Kantonsgericht, 2020-04-20, FR</w:t>
      </w:r>
    </w:p>
    <w:p>
      <w:r>
        <w:rPr>
          <w:b/>
        </w:rPr>
        <w:t xml:space="preserve">Quelle: </w:t>
      </w:r>
      <w:r>
        <w:t>https://mcp.opencaselaw.ch/entscheid/fr_gerichte_605_2019_1</w:t>
      </w:r>
    </w:p>
    <w:p>
      <w:r>
        <w:t>FR: FR_GERICHTE 605 2019 1 du 20 avril 2020</w:t>
      </w:r>
    </w:p>
    <w:p>
      <w:r>
        <w:t>IT: FR_GERICHTE 605 2019 1 del 20 aprile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 la décision litigieuse ayant été valablement notifiée au recourant par courrier A+ expédié le 4 décembre 2018 – et dans les formes légales auprès de l'autorité judiciaire compétente par un assuré directement touché par la décision sur opposition attaquée, le recours est recevable.</w:t>
      </w:r>
    </w:p>
    <w:p>
      <w:r>
        <w:t>Tribunal cantonal TC Page 3 de 9</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Dans le catalogue des prestations de l'assurance-accidents figure notamment le droit au traitement médical (art. 10 et 54 LAA).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w:t>
      </w:r>
    </w:p>
    <w:p>
      <w:r>
        <w:rPr>
          <w:b/>
        </w:rPr>
        <w:t>E. 3.1</w:t>
      </w:r>
    </w:p>
    <w:p>
      <w:r>
        <w:t>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w:t>
      </w:r>
    </w:p>
    <w:p>
      <w:r>
        <w:t>Tribunal cantonal TC Page 4 de 9 et le droit à une rente d'invalidité, le moment déterminant étant celui auquel l'état de santé peut être considéré comme relativement stabilisé. Il ne suffit donc pas que le traitement médical laisse présager une amélioration de peu d'importance (ATF 134 V 109 consid. 4.3; RAMA 2005 p. 366), ou qu'une amélioration sensible ne puisse être envisagée dans un avenir incertain (arrêts TF U 305/03 du 31 août 2004 et U 89/95 du 21 novembre 1995; Maurer, Schweizerisches Unfallversicherungsrecht, 2e éd., p. 274).</w:t>
      </w:r>
    </w:p>
    <w:p>
      <w:r>
        <w:rPr>
          <w:b/>
        </w:rPr>
        <w:t>E. 3.2</w:t>
      </w:r>
    </w:p>
    <w:p>
      <w:r>
        <w:t>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w:t>
      </w:r>
    </w:p>
    <w:p>
      <w:r>
        <w:rPr>
          <w:b/>
        </w:rPr>
        <w:t>E. 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w:t>
      </w:r>
    </w:p>
    <w:p>
      <w:r>
        <w:rPr>
          <w:b/>
        </w:rPr>
        <w:t>E. 4.1</w:t>
      </w:r>
    </w:p>
    <w:p>
      <w:r>
        <w:t>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4.2</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5</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5.1</w:t>
      </w:r>
    </w:p>
    <w:p>
      <w:r>
        <w:t>Selon le principe de la libre appréciation des preuves, le juge apprécie librement les preuves médicales qu'il a recueillies, sans être lié par des règles formelles, en procédant à une</w:t>
      </w:r>
    </w:p>
    <w:p>
      <w:r>
        <w:t>Tribunal cantonal TC Page 5 de 9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rPr>
          <w:b/>
        </w:rPr>
        <w:t>E. 5.2</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6</w:t>
      </w:r>
    </w:p>
    <w:p>
      <w:r>
        <w:t>Est litigieuse, en l'espèce, la prise en charge d’un traitement dentaire annoncé comme rechute d’un accident de ski survenu le 7 mars 2004. Dans ce contexte, se pose la question de savoir s'il existe une relation de causalité entre cet accident et les troubles actuels, notamment la nécessité d’une augmentation de la DVO. Qu’en est-il ?</w:t>
      </w:r>
    </w:p>
    <w:p>
      <w:r>
        <w:rPr>
          <w:b/>
        </w:rPr>
        <w:t>E. 6.1</w:t>
      </w:r>
    </w:p>
    <w:p>
      <w:r>
        <w:t>Accident du 7 mars 2004 et traitement initial Le 7 mars 2004, l’assuré a été victime d’une chute à ski, lors de laquelle il s’est blessé aux dents (déclaration d’accident LAA du 10 mars 2004, dossier SUVA, pièce 19). Le 23 avril 2004, le Dr B.________, médecin-dentiste, consulté le 10 mars 2004, avait adressé à la UVA un rapport déclarant les lésions suivantes en tant que « dommages dus à l’accident » du</w:t>
      </w:r>
    </w:p>
    <w:p>
      <w:r>
        <w:rPr>
          <w:b/>
        </w:rPr>
        <w:t>E. 6.2</w:t>
      </w:r>
    </w:p>
    <w:p>
      <w:r>
        <w:t>Annonce de rechute du 16 mai 2018 Le 16 mai 2018, l’employeur de l’assuré a fait annoncer à la SUVA une rechute survenue le 5 février 2018 en ces termes : « problème avec une dent réparée en 2004 suite à un accident » (dossier SUVA, pièce 2). Le 22 février 2018, Dr C.________, nouveau médecin-dentiste traitant, a établi une estimation d’honoraires pour un total de CHF 22'849.-, comprenant notamment un pont sur implant au niveau des dents 11-22 avec « augmentation du volume osseux avec implants », des couronnes céramo- métalliques (CCM) sur les dents 44-45-47-34-35-37 ainsi qu’une couronne céramo-céramique (CCC) sur la dent 36 (dossier SUVA, pièce 5). Sur demande de la SUVA, il a établi un rapport explicatif complémentaire le 18 juin 2018, indiquant que l’assuré présentait « un délabrement important de son pont 11-21-22 ainsi que de sa couronne sur la dent 12. Ce délabrement est principalement dû à une perte de DVO [dimension verticale d’occlusion] importante. Malheureusement cette usure ne me permet pas de garder les dents 11 et 22. Je dois donc les extraire et me diriger vers une restauration sur implants. Pour me permettre de poser deux implants afin de faire un pont dans de bonnes conditions et de manière à avoir un résultat fonctionnel, durable et esthétique, il est impératif de remonter la DVO du patient. C’est pour cette raison que j’ai prévu des restaurations indirectes sur les dents 37-36-34-35-44-46- 47 et des composites incisal sur les dents 33-32-31-41-42-43 ». Il a précisé que l’assuré prendrait lui-même les frais inhérents à la dent 46 ainsi que le remplacement des dents au niveau du quadrant 1 qui ont déjà été extraites (dossier SUVA, pièce 10).</w:t>
      </w:r>
    </w:p>
    <w:p>
      <w:r>
        <w:rPr>
          <w:b/>
        </w:rPr>
        <w:t>E. 6.3</w:t>
      </w:r>
    </w:p>
    <w:p>
      <w:r>
        <w:t>Instruction du cas par la SUVA et refus de prise en charge Invité à se déterminer sur ce cas, le dentiste-conseil de la SUVA, le Dr D.________, a affirmé que « l’état dentaire de l’assuré dans son ensemble est très délabré et la classe II/2 avec le deep bite n’est pas une suite de l’accident. Si la raison de la perte du pont pris en charge par la SUVA, soit le pont 11-22, est la perte de la DVO, alors ce n’est pas une rechute ». Il a estimé qu’il n’appartenait pas à la SUVA de prendre en charge le traitement sur les dents postérieures (prise de position du 29 juin 2018, dossier SUVA, pièce 11). Par décision du 16 juillet 2018, la SUVA a refusé la prise en charge du traitement litigieux au motif qu’il n’existait pas de lien de causalité avéré ou probable entre l’accident du 7 mars 2004 et les lésions dentaires annoncées (dossier SUVA, pièce 12).</w:t>
      </w:r>
    </w:p>
    <w:p>
      <w:r>
        <w:rPr>
          <w:b/>
        </w:rPr>
        <w:t>E. 6.4</w:t>
      </w:r>
    </w:p>
    <w:p>
      <w:r>
        <w:t>Complément d’instruction et décision litigieuse Contacté par la SUVA suite à son opposition, l’assuré a affirmé à l’occasion d’un entretien téléphonique du 13 août 2018 que le pont qui avait été pris en charge en 2004 commençait sérieusement à poser problème et devait être refait. Il a ainsi confirmé son opposition visant à obtenir la prise en charge du traitement litigieux. Il a ajouté que « depuis toujours il a eu des dents du haut qui recouvraient les dents du bas » (dossier SUVA, pièce 15). Le cas a été soumis à un second dentiste-conseil, le Dr E.________, spécialiste en parodontologie, qui, dans un rapport du 28 septembre 2018, a affirmé sur la base des radiographies du 6 février 2018 que « le patient présente une bouche non assainie : plusieurs</w:t>
      </w:r>
    </w:p>
    <w:p>
      <w:r>
        <w:t>Tribunal cantonal TC Page 7 de 9 caries secondaires, obturations non étanches ou mal adaptées, parodontite chronique. Situation ne correspondant pas aux standards actuels SSO et ne permettant pas la pose d’un pont et/ou des implants ». Il a ajouté que « la perte de la DVO ne peut pas être mise en relation avec l’accident de 2004 ». Dans ces conditions, il a proposé, se référant aux art. 48 et 54 LAA et à l’art.</w:t>
      </w:r>
    </w:p>
    <w:p>
      <w:r>
        <w:rPr>
          <w:b/>
        </w:rPr>
        <w:t>E. 6.5</w:t>
      </w:r>
    </w:p>
    <w:p>
      <w:r>
        <w:t>Recours et éléments médicaux ultérieurs Dans son recours du 31 décembre 2018, l’assuré indique tout d’abord que le traitement proposé par son dentiste traitant est déjà en cours. S’agissant du manque de soin relevé par le dentiste- conseil, il affirme que celui-ci « n’est pas du tout volontaire » mais découle du manque de professionnalisme de son précédent dentiste traitant, le Dr B.________. Il conteste en outre l’appréciation du dentiste conseil selon lequel la pose d’implants serait impossible, un tel traitement étant déjà en cours. Enfin, il remet en question le fait qu’un bridge, posé suite à un accident assuré, montrant désormais des « signes de faiblesses », doive être remplacé par une prothèse amovible. A l’appui de sa position, il produit une attestation du 19 décembre 2018 de son dentiste traitant, le Dr C.________, confirmant que le traitement litigieux (une restauration fixe) a déjà commencé, aux frais de l’assuré. Il explique que « ce traitement permet une augmentation de la DVO du patient et donc nous permettra sans problème de faire une restauration implanto-portée dans le segment antérieur afin de remplacer le pont actuel. En vue des frais que Monsieur consent à investir dans sa bouche, il est normal qu’il souhaite remplacer son pont par une restauration fixe et non par une prothèse amovible à châssis coulé » (dossier SUVA, pièce 29). 7.</w:t>
      </w:r>
    </w:p>
    <w:p>
      <w:r>
        <w:rPr>
          <w:b/>
        </w:rPr>
        <w:t>E. 7</w:t>
      </w:r>
    </w:p>
    <w:p>
      <w:r>
        <w:t>mars 2004 : dents 11 et 22 « subluxées (devenues branlantes) », dents 11, 22 et 31 « contusionnées (heurtées) » et « fracture de racine » en dent 21. Il avait en outre mentionné la préexistence de « dents réparées » (11, 21, 22, 24, 25, 27, 35, 36, 37, 45, 46, 47), de couronnes en dents 12 et 46 et d’un « bridge 25-27 ». Il avait proposé l’extraction de la dent 21 et la pose d’un bridge 11-22, en précisant que « le patient ne souhaitait pas d’implant » (dossier SUVA, pièce</w:t>
      </w:r>
    </w:p>
    <w:p>
      <w:r>
        <w:t>Tribunal cantonal TC Page 6 de 9 20). Il avait établi un devis d’un montant total de CHF 3'795.55 pour l’ensemble de ce traitement (dossier SUVA, pièce 18). Ce traitement avait été pris en charge par la SUVA (dossier SUVA, pièce 17).</w:t>
      </w:r>
    </w:p>
    <w:p>
      <w:r>
        <w:rPr>
          <w:b/>
        </w:rPr>
        <w:t>E. 7.1</w:t>
      </w:r>
    </w:p>
    <w:p>
      <w:r>
        <w:t>Il ressort de ces éléments que l’avis des dentistes conseil de la SUVA n’est pas réellement contesté sur le plan médical. Le premier dentiste conseil avait estimé que l’état dentaire de l’assuré, dans sa globalité, n’était pas en lien avec l’accident assuré, en constatant la présence d’une « classe II division 2 avec le deep bite ». Ce diagnostic, sur le plan médical, est défini comme une « anomalie dento- squelettique caractérisée par une occlusion distale des deux secteurs latéraux de l’arcade inférieure » lors de laquelle « les dents antérieures sont avancées (protrusives) à différents degrés et peuvent recouvrir excessivement celles du bas, parfois complètement (overbite) », dont l’origine, « comme pour la plupart des malocclusions, (…) est surtout génétique ou héréditaire » (sources :</w:t>
      </w:r>
    </w:p>
    <w:p>
      <w:r>
        <w:t>Tribunal cantonal TC Page 8 de 9 https://dumas.ccsd.cnrs.fr/dumas-01155516/document; https://www.orthodontisteenligne.com/mal- occlusion-classe-2/). La préexistence de cette malocclusion dentaire et, partant, son absence de lien de causalité avec l’accident assuré, sont d’ailleurs confirmées par les déclarations de l’assuré lui-même, qui a indiqué le 13 août 2018 avoir « toujours (…) eu des dents du haut qui recouvraient les dents du bas » (dossier SUVA, pièce 15). L’absence de lien de causalité a ensuite été confirmée par le second dentiste conseil, qui a affirmé que la perte de la DVO n’était pas une conséquence de l’accident (dossier SUVA, pièce 22). Quant au dentiste traitant de l’assuré, pour sa part, il se limite à confirmer le caractère réalisable du traitement litigieux ainsi que son bien-fondé afin de permettre une augmentation de la DVO et, partant, une restauration par implants. Ce faisant, il ne remet absolument pas en cause l’appréciation des dentistes conseil et n’apporte aucun élément médical en faveur d’une origine accidentelle de cette perte de DVO. Dans ces conditions, force est d’admettre que rien, sur le plan médical, ne justifie de remettre en question l’avis unanime des médecins conseil de la SUVA. Cette position emporte ainsi la conviction de la Cour, dans le sens que la « perte de DVO » n’est pas une conséquence de l’accident assuré. Or, c’est précisément cette anomalie que vise à réparer, du moins en partie, le traitement litigieux, qui prévoit une correction de la perte de DVO au moyen d’une « augmentation du volume osseux » afin de permettre une réparation par implants (estimation d’honoraires du 22 février 2018, dossier SUVA, pièce 5). Dans la mesure où cette situation initiale ne découle manifestement pas de l’accident assuré, le traitement correctif ne saurait être mis à la charge de l’autorité intimée. Seul le traitement strictement en lien avec les atteintes découlant de l’accident assuré (pour mémoire : une fracture de racine de la dent 21 et des dents 11 et 22 « subluxées » et « contusionnées »), mais non la correction de la malocclusion dentaire préexistante, peut être mis à la charge de l’assurance-accidents.</w:t>
      </w:r>
    </w:p>
    <w:p>
      <w:r>
        <w:rPr>
          <w:b/>
        </w:rPr>
        <w:t>E. 7.2</w:t>
      </w:r>
    </w:p>
    <w:p>
      <w:r>
        <w:t>Un tel traitement doit en outre être approprié et économique (cf. supra consid. 3.2). Si l’on peut comprendre que l’assuré préfère désormais un traitement fixe par implants – auquel il avait pourtant renoncé en 2004 (cf. dossier SUVA, pièce 18) – à un traitement amovible, cela ne saurait pour autant signifier que l’ensemble des mesures visant à permettre la pose de tels implants, soit en particulier l’augmentation de la DVO, puisse être mis à la charge de l’assurance- accidents. Le dentiste traitant, là encore, n’apporte aucun élément médical pertinent, se limitant à trouver « normal » que son patient préfère une restauration fixe à une prothèse amovible. Une telle affirmation ne saurait à l’évidence suffire pour admettre le caractère économique et adéquat du traitement litigieux, au sens de l’art. 54 LAA.</w:t>
      </w:r>
    </w:p>
    <w:p>
      <w:r>
        <w:rPr>
          <w:b/>
        </w:rPr>
        <w:t>E. 7.3</w:t>
      </w:r>
    </w:p>
    <w:p>
      <w:r>
        <w:t>Au vu de tout ce qui précède, la Cour considère que l’autorité intimée a établi, de manière suffisamment probante, que le traitement litigieux n’était pas en lien de causalité naturelle et adéquate avec l’accident assuré.</w:t>
      </w:r>
    </w:p>
    <w:p>
      <w:r>
        <w:t>Tribunal cantonal TC Page 9 de 9 Dans ces conditions, il convient de confirmer la décision de la SUVA de refuser la prise en charge du traitement litigieux en tant que rechute de l’accident du 7 mars 2004 et de limiter sa prise en charge à une participation pro forma à hauteur de CHF 3'600.-. Mal fondé, le recours doit dès lors être rejeté. 8. 8.1. La procédure étant gratuite (art. 61 let. a LPGA), il n’est pas perçu de frais de justice. 8.2.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la Cour arrête : I. Le recours est rejeté. Partant, la décision sur opposition du 11 octobre 2018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2020/isc Le Président : La Greffière :</w:t>
      </w:r>
    </w:p>
    <w:p>
      <w:r>
        <w:rPr>
          <w:b/>
        </w:rPr>
        <w:t>E. 11</w:t>
      </w:r>
    </w:p>
    <w:p>
      <w:r>
        <w:t>octobre 2018. Par courrier du 19 octobre 2018, la SUVA a encore informé l’assuré qu’elle considérait le traitement proposé par le dentiste traitant comme « ni économique ni adéquat » et lui a proposé le traitement recommandé par son dentiste-conseil, à savoir une « prothèse à châssis coulé pour le remplacement des dents accidentées suite à l’évènement du 7 mars 2004 (dents 11 à 22 [incisives supérieures]) », en précisait que s’il décidait malgré tout de réaliser le traitement recommandé par son dentiste traitant, il en supporterait les frais ainsi que les risques futurs, et que la participation de la SUVA serait alors limitée à CHF 3'600.- (dossier SUVA, pièce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