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90 vom 24. Mai 2019</w:t>
      </w:r>
    </w:p>
    <w:p>
      <w:r>
        <w:t>FR Kantonsgericht, 2019-05-24, FR</w:t>
      </w:r>
    </w:p>
    <w:p>
      <w:r>
        <w:rPr>
          <w:b/>
        </w:rPr>
        <w:t xml:space="preserve">Quelle: </w:t>
      </w:r>
      <w:r>
        <w:t>https://mcp.opencaselaw.ch/entscheid/fr_gerichte_605_2018_90</w:t>
      </w:r>
    </w:p>
    <w:p>
      <w:r>
        <w:t>FR: FR_GERICHTE 605 2018 90 du 24 mai 2019</w:t>
      </w:r>
    </w:p>
    <w:p>
      <w:r>
        <w:t>IT: FR_GERICHTE 605 2018 90 del 24 maggio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w:t>
      </w:r>
    </w:p>
    <w:p>
      <w:r>
        <w:t>Tribunal cantonal TC Page 4 de 10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TF 8C_300/2017 du 1er février 2018).</w:t>
      </w:r>
    </w:p>
    <w:p>
      <w:r>
        <w:rPr>
          <w:b/>
        </w:rPr>
        <w:t>E. 2.3</w:t>
      </w:r>
    </w:p>
    <w:p>
      <w:r>
        <w:t>Lorsque l'administration entre en matière sur la nouvelle demande, elle doit examiner l'affaire au fond, et vérifier que la modification du degré d'invalidité ou de l'impotence rendue plausible par l'assuré (cf. art. 87 al. 3 en lien avec al. 2 de l'ordonnance du 17 janvier 1961 sur l'assurance-invalidité [RAI; RS 831.201]) est réellement intervenue. Elle doit par conséquent procéder de la même manière qu'en cas de révision au sens de l'art. 17 LPGA (cf. ATF 130 V 71).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Le point de savoir si un changement important des circonstances est survenu doit être tranché en comparant les faits tels qu'ils se présentaient au moment de la décision initiale d'allocation de rente avec les circonstances à l'époque de la décision administrative litigieuse. Il en va également ainsi lorsqu'une première procédure de révision a été menée entre-temps, sans toutefois aboutir à une modification du droit à la rente ou encore lorsqu'après un premier refus de rente l'Office AI entre en matière sur une nouvelle demande (ATF 130 V 71 consid. 3.1).</w:t>
      </w:r>
    </w:p>
    <w:p>
      <w:r>
        <w:rPr>
          <w:b/>
        </w:rPr>
        <w:t>E. 2.4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114 V 314, 105 V 158). Il découle de la notion d'invalidité que ce n'est pas l'atteinte à la santé en soi qui est assurée; ce sont bien plutôt les conséquences économiques de celle-ci, c'est-à-dire une incapacité de gain qui sera probablement permanente ou du moins de longue durée (ATF 127 V 294).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5 de 10</w:t>
      </w:r>
    </w:p>
    <w:p>
      <w:r>
        <w:rPr>
          <w:b/>
        </w:rPr>
        <w:t>E. 2.5</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2.6</w:t>
      </w:r>
    </w:p>
    <w:p>
      <w:r>
        <w:t>Enfin,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3</w:t>
      </w:r>
    </w:p>
    <w:p>
      <w:r>
        <w:t>Est litigieux dans le cadre d'une nouvelle demande le droit du recourant à une rente. Le recourant soutient que son état de santé s'est aggravé. Il fait valoir que le rapport d'expertise de E.________ sur lequel se fonde exclusivement la décision attaquée serait très loin de respecter les exigences jurisprudentielles. En premier lieu, l'expertise n'aurait pas été effectuée en pleine connaissance de l'anamnèse, ni sur la base d'un dossier médical complet, vu que le plus ancien rapport mentionné remonte au 29 mai 2015. En second lieu, les experts n'auraient pas procédé à des examens médicaux complets et approfondis. En troisième et dernier lieu, le volet psychiatrique serait loin de satisfaire à la dernière jurisprudence du Tribunal fédéral relative à l'évaluation de l'incapacité de travail en cas de troubles psychiques.</w:t>
      </w:r>
    </w:p>
    <w:p>
      <w:r>
        <w:t>Tribunal cantonal TC Page 6 de 10 Il s'agit dès lors de déterminer l'évaluation de la situation entre les deux refus de rente.</w:t>
      </w:r>
    </w:p>
    <w:p>
      <w:r>
        <w:rPr>
          <w:b/>
        </w:rPr>
        <w:t>E. 3.1</w:t>
      </w:r>
    </w:p>
    <w:p>
      <w:r>
        <w:t>Pour la décision initiale de refus de rente du 28 mars 2014 (dossier OAI, p. 160ss), décision qui est entrée en force, l'OAI s'est fondé sur le rapport d'expertise de D.________ du 24 octobre 2013 (dossier OAI, p. 61ss). Sont retenus seulement deux diagnostics, les deux sans influence sur la capacité de travail : hernies discales C5/C6 bilatérale et C6/C7 droite, en phase de rémission retardée et une discopathie protrusive L5-S1, en phase stabilisée, sans phénomènes douloureux en lien avec la discopathie. Par contre, les experts ne retiennent ni le diagnostic d'une fibromyalgie (seuls 3/18 point de fibromyalgie sont retrouvés) ni un diagnostic psychique. Selon les experts, du point de vue des plaintes algiques, l'état actuel est inchangé depuis de nombreuses années. Les douleurs multiples rapportées ne trouvent pas d'explication clinique ou biologique. S'il existe d'authentiques pathologies discales, en l'occurrence une hernie C5/C6, une hernie C6/C7 et une discopathie L5/S1, la symptomatologie clinique est disproportionnée dans sa description par rapport à l'intensité des douleurs. De plus, 3/5 signes de Waddell témoignent d'une surcharge psychogène des plaintes. Même dans son dernier emploi, la capacité de travail est jugé entière.</w:t>
      </w:r>
    </w:p>
    <w:p>
      <w:r>
        <w:rPr>
          <w:b/>
        </w:rPr>
        <w:t>E. 3.2</w:t>
      </w:r>
    </w:p>
    <w:p>
      <w:r>
        <w:t>Le 4 juillet 2016, le recourant fait une nouvelle demande de prestation sur laquelle l'OAI est entré en matière. Dans sa décision litigieuse du 26 février 2018, il s'est basé principalement sur le rapport d'expertise de E.________ du 18 juillet 2017 (dossier OAI, p. 406ss), ordonné par l'assureur perte de gain. Le Dr F.________, spécialiste en neurologie, déclare qu'un examen neurologique effectué dans des conditions de collaboration totalement insuffisantes, dominé par une démonstrativité majeure, ne permet pas d'objectiver d'éventuelles atteintes somatiques, notamment pour ce qui est de la polyneuropathie des petites fibres évoquée préalablement et des conséquences éventuelles des troubles dégénératifs disco-vertébraux cervicaux et lombaires. L'expert mentionne d'avoir pris note du fait que la biopsie cutanée a montré une rareté des petites fibres ayant fait évoquer une neuropathie à petites fibres, mais relève néanmoins que le tableau actuel (plaintes et constatations cliniques) est totalement atypique pour ce diagnostic. S'agissant d'éventuelles douleurs d'origine disco-vertébrales, tant cervicales que lombaires, la description des troubles, l'examen clinique et la relecture des documents radiologiques ne permettent pas d'attribuer les plaintes à une telle étiologie même si, évidemment, une discrète irritation sous- jacente ne peut être écartée totalement. Du point de vue de la capacité de travail, au vu de l'impossibilité de mettre clairement en évidence une pathologie somatique neurologique, force est d'admettre que le présent bilan ne démontre pas, sur le plan somatique, une affection représentant une cause significative d'incapacité de travail. Le Dr G.________, spécialiste en psychiatrie et psychothérapie, estime quant à lui que le tableau clinique du recourant est compatible avec un diagnostic de troubles anxieux et dépressifs mixtes (F41.2). De plus il existe un syndrome douloureux somatoforme persistant (F45.4). Au final, les deux experts retiennent les diagnostics suivants : syndrome douloureux ubiquitaire sans substrat somatique clairement objectivable, troubles dégénératifs cervicaux modérés et possible neuropathie des petites fibres, comportements d'hostilité lorsque l'expertisé était enfant, adolescent et jeune adulte, fait d'avoir été traité comme un bouc émissaire (Z62.3), troubles anxieux et dépressifs mixtes (F41.2) et syndrome douloureux somatoforme persistant (F45.4). Selon l'avis des experts, même l'ancienne activité est exigible à plein temps.</w:t>
      </w:r>
    </w:p>
    <w:p>
      <w:r>
        <w:rPr>
          <w:b/>
        </w:rPr>
        <w:t>E. 3.3</w:t>
      </w:r>
    </w:p>
    <w:p>
      <w:r>
        <w:t>Par ailleurs, il ressort ce qui suit du dossier médical. Les médecins de H.________ de I.________ posent dans leur rapport du 24 mai 2016 (dossier OAI, p. 443ss) consécutif à la consultation du 22 février 2016 les diagnostics de small fiber</w:t>
      </w:r>
    </w:p>
    <w:p>
      <w:r>
        <w:t>Tribunal cantonal TC Page 7 de 10 neuropathie, fibromyalgie, syndrome douloureux cervicospondylogène sur arthrose facettaire C5/C6 et C6/C7, status après infiltration de la racine C6 et après infiltration facettaire C5/6 et C6/7, les deux sans effet, et dépression. Dans le contexte du syndrome douloureux, fluctuant et récidivant, il est difficile de dire s'il y un rôle de la part de la pathologie des petites fibres ; il est toutefois peu probable que cette pathologie puisse expliquer toute la symptomatologie, les analyses de sang ne montrant pas d'étiologie à la pathologie des petites fibres. Par la suite, le recourant a été hospitalisé du 27 avril au 4 juin 2016 à I.________. Les diagnostics suivants sont posés par les médecins : fibromyalgie (symptome severity score 11/12; regional pain scale 18/19), small fiber neuropathie d'origine indéterminée (mise en évidence d'une diminution des fibres nerveuses intradermiques par biopsie de peau du 26 janvier 2016), syndrome chronique cervicospondylogène D, trouble dépressif-anxieux, épisode actuel de degré moyen. Pendant le séjour, il n'y a eu que très peu d'amélioration. Vu l'importance du syndrome douloureux, les médecins nient une quelconque capacité de travail. Selon eux, en continuant la physiothérapie et la psychothérapie en ambulatoire, une possibilité de reprise du travail peut être espérée (cf. rapports du 3 juin 2016 [dossier OAI, p. 168s; traduction de ce rapport, dossier OAI, p. 451] et du</w:t>
      </w:r>
    </w:p>
    <w:p>
      <w:r>
        <w:rPr>
          <w:b/>
        </w:rPr>
        <w:t>E. 4</w:t>
      </w:r>
    </w:p>
    <w:p>
      <w:r>
        <w:t>novembre 2016 les diagnostics d'un épisode dépressif sévère sans symptômes psychotiques (F32.2) et d'une anxiété généralisée depuis 2013 (F41.1) en attestant une incapacité totale de travail. De plus, une certaine aggravation de l'état de santé psychiatrique ne peut être exclue vu le fait que le recourant est maintenant suivi par un psychiatre, ce qui n'était pas le cas lors de la première décision de refus selon les indications dans le rapport d'expertise D.________. Enfin, la Cour de céans s'étonne également du fait que dans l'expertise de E.________, la liste des diagnostics posés en réponse aux questions de l'assureur perte de gain (troubles algiques et sensitivo-moteurs sans substrat somatique clairement objectivable [collaboration insuffisante], comportements d'hostilité lorsque l'expertisé était enfant, adolescent et adulte jeune, il a été traité comme un bouc émissaire [Z62.3], troubles anxieux et dépressifs mixtes [F41.2], syndrome douloureux somatoforme persistant [F45.4]) diffère de celle des réponses aux questions de l'OAI</w:t>
      </w:r>
    </w:p>
    <w:p>
      <w:r>
        <w:t>Tribunal cantonal TC Page 9 de 10 (syndrome douloureux ubiquitaire sans substrat somatique clairement objectivable, troubles dégénératifs cervicaux modérés et possible neuropathie des petites fibres, comportements d'hostilité lorsque l'expertisé était enfant, adolescent et jeune adulte, le fait d'avoir été traité comme un bouc émissaire [Z62.3], des troubles anxieux et dépressifs mixtes [F41.2] et un syndrome douloureux somatoforme persistant [F45.4]). Pour qu'une expertise médicale ait valeur probante, il faut qu'elle soit établie sur la base d’observations approfondies et d’investigations complètes, en pleine connaissance du dossier et que les experts aboutissent à des résultats convaincants. Pour les raisons qui précèdent, cela ne semble pas être le cas pour l'expertise de E.________. Par conséquent, il convient de renvoyer la cause à l'autorité intimée afin qu'elle complète l'instruction par une expertise rhumatologique. Vu les lacunes de l'expertise de E.________, il faut en même temps refaire aussi les volets neurologique et psychiatrique et de ce fait ordonner une expertise pluridisciplinaire (rhumatologique, neurologique et psychiatrique). Cela va permettre de tenir également compte du fait que selon une récente jurisprudence du Tribunal fédéral sur les troubles psychiques (cf. ATF 143 V 409 et 418), il y a lieu d'examiner le droit à une rente en cas de troubles psychiques conformément à la jurisprudence développée pour les troubles somatoformes douloureux (procédure structurée d'administration des preuves à l'aide d'indicateurs). Les experts se prononceront aussi sur la présence des éléments extra-médicaux notamment relevés par le nouveau psychiatre traitant. Le renvoi à l'OAI pour compléter l'instruction se justifie aussi pour une autre raison. La Cour de céans constate que, la façon de procéder de l'OAI a eu pour effet que les droits du recourant par rapport à une mise sur pied d'une expertise garantie depuis l'ATF 137 V 210 ont été éludés. En effet, en reprenant l'expertise de D.________ et en se contentant de participer financièrement à celle de E.________, l'OAI n'a pas pu respecter ses obligations procédurales, notamment celles qui lui imposent d'inviter le recourant à se prononcer sur les volets ainsi que sur les experts mandatés et à leur poser des questions.</w:t>
      </w:r>
    </w:p>
    <w:p>
      <w:r>
        <w:rPr>
          <w:b/>
        </w:rPr>
        <w:t>E. 5</w:t>
      </w:r>
    </w:p>
    <w:p>
      <w:r>
        <w:t>heures 40 minutes à CHF 250.-/heure, soit un montant de CHF 1'416.65.-. S'y ajoutent CHF 50.- au titre de débours et CHF 112.95 au titre de la TVA (7.7% de CHF 1466.65). L'indemnité totale de CHF 1'579.60 est intégralement à la charge de l'OAI qui succombe. la Cour arrête : I. Le recours de A.________ est admis et la décision du 26 février 2018 annulée. Partant, le dossier est renvoyé à l'Office de l'assurance-invalidité du canton de Fribourg, afin qu'il reprenne l'instruction dans le sens des considérants. II. Les frais de procédure, par CHF 800.-, sont mis à la charge de l'Office de l'assurance- invalidité du canton de Fribourg. III. L'avance de frais d'un montant de CHF 800.- est restituée à A.________. IV. L’équitable indemnité allouée à A.________ pour ses frais de défense est fixée à CHF 1'416.65.- d'honoraires, plus CHF 50.- au titre de débours et CHF 112.95 au titre de la TVA (7.7%), soit un total de CHF 1'579.60,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