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171 vom 7. Dezember 2018</w:t>
      </w:r>
    </w:p>
    <w:p>
      <w:r>
        <w:t>FR Kantonsgericht, 2018-12-07, FR</w:t>
      </w:r>
    </w:p>
    <w:p>
      <w:r>
        <w:rPr>
          <w:b/>
        </w:rPr>
        <w:t xml:space="preserve">Quelle: </w:t>
      </w:r>
      <w:r>
        <w:t>https://mcp.opencaselaw.ch/entscheid/fr_gerichte_605_2018_171</w:t>
      </w:r>
    </w:p>
    <w:p>
      <w:r>
        <w:t>FR: FR_GERICHTE 605 2018 171 du 7 décembre 2018</w:t>
      </w:r>
    </w:p>
    <w:p>
      <w:r>
        <w:t>IT: FR_GERICHTE 605 2018 171 del 7 dicembre 2018</w:t>
      </w:r>
    </w:p>
    <w:p>
      <w:pPr>
        <w:pStyle w:val="Heading2"/>
      </w:pPr>
      <w:r>
        <w:t>Regeste</w:t>
      </w:r>
    </w:p>
    <w:p>
      <w:r>
        <w:t>Arrêt de la Ie Cour des assurances sociales du Tribunal cantonal | Arbeitslosenversicherung</w:t>
      </w:r>
    </w:p>
    <w:p>
      <w:pPr>
        <w:pStyle w:val="Heading2"/>
      </w:pPr>
      <w:r>
        <w:t>Erwägungen</w:t>
      </w:r>
    </w:p>
    <w:p>
      <w:r>
        <w:rPr>
          <w:b/>
        </w:rPr>
        <w:t>E. 3</w:t>
      </w:r>
    </w:p>
    <w:p>
      <w:r>
        <w:t>Le recourant se plaint ensuite de ce que la Caisse de chômage a violé son obligation de renseigner, dès lors qu'elle ne l'a pas averti de l'éventuel refus d'indemnités de chômage en raison de sa qualité d'associé-gérant de la société D.________ Sàrl afin qu'il puisse faire le nécessaire pour préserver ses droits.</w:t>
      </w:r>
    </w:p>
    <w:p>
      <w:r>
        <w:rPr>
          <w:b/>
        </w:rPr>
        <w:t>E. 3.1</w:t>
      </w:r>
    </w:p>
    <w:p>
      <w:r>
        <w:t>Aux termes de l'art. 27 LPGA, dans les limites de leur domaine de compétence, les assureurs et les organes d'exécution des diverses assurances sociales sont tenus de renseigner les personnes intéressées sur leurs droits et obligations. L'art. 27 LPGA est étroitement lié au principe constitutionnel d'après lequel les organes de l'Etat et les particuliers doivent agir conformément aux règles de la bonne foi (art. 5 al. 3 consid. 2.1 Cst.). Un renseignement erroné ou l'omission de renseigner l'assuré, ou lorsque les circonstances concrètes du cas particulier auraient commandé une information de l'assureur, peuvent, à certaines conditions,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droit aux prestations et s'abstient de l'en informer en temps utile (arrêts TF 2C_951/2014 du 16 avril 2015 consid. 3.2; 8C_627/2009 du 8 juin 2010 consid. 5.2 et les références citées). Plus précisément,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(arrêts TF 8C_906/2014 du 30 novembre 2015 consid. 6.2; 8C_911/2014 du 30 novembre 2015 consid. 5.2 et les références citées).</w:t>
      </w:r>
    </w:p>
    <w:p>
      <w:r>
        <w:rPr>
          <w:b/>
        </w:rPr>
        <w:t>E. 3.2</w:t>
      </w:r>
    </w:p>
    <w:p>
      <w:r>
        <w:t>En l'occurrence, le recourant soutient avoir subi un préjudice du fait de n'avoir pas été informé que son droit serait nié parce qu'il était associé-gérant de la société D.________ Sàrl. Il affirme que, informé de ce fait, il aurait immédiatement préservé ses droits en supprimant tous les liens qu'il avait avec cette société. On peut d'emblée se poser la question de la protection de la bonne foi d'un assuré qui porte la responsabilité de la survenance de son dommage en ne déclarant initialement pas toutes les sociétés dont il est associé-gérant.</w:t>
      </w:r>
    </w:p>
    <w:p>
      <w:r>
        <w:t>Tribunal cantonal TC Page 6 de 10 Sous cet angle, il y aurait là comme un abus de droit (au sens de l’art. 2 al. 2 CC). Cela étant, cette question peut demeurer ouverte dès lors que l'existence même du dommage allégué est douteuse. En effet, que cela soit par le bais des questions posées le 6 février 2018 ou par la décision initiale du 19 avril 2018 (dossier Caisse, p. 28 et 126), l'assuré était informé que sa participation dans une entreprise jouait un rôle prépondérant dans son droit aux prestations de l'assurance-chômage. Il était dès lors déjà en mesure de prendre les mesures nécessaires pour préserver ses droits, ce qu'il n'a pourtant pas fait avant que l'autorité intimée ne rende sa décision sur opposition. Dans ces circonstances, ce grief doit être interprété comme le regret que la Caisse n'ait pas pris à sa charge le fait que le recourant ait oublié "l'existence de la société D.________ Sàrl, dès lors qu'elle est inactive depuis sept ans" lorsqu'il a répondu aux questions de la Caisse le</w:t>
      </w:r>
    </w:p>
    <w:p>
      <w:r>
        <w:rPr>
          <w:b/>
        </w:rPr>
        <w:t>E. 6</w:t>
      </w:r>
    </w:p>
    <w:p>
      <w:r>
        <w:t>février 2018 (dossier Caisse, p. 126). L’allégation d’un tel oubli ne saurait toutefois à l’évidence fonder une quelconque responsabilité de la Caisse. Le recourant ne saurait en conséquence se prévaloir de la protection de sa bonne foi pour prétendre aux indemnités de chômage. 4. Enfin, sur le fond, le recourant affirme que la société D.________ Sàrl a uniquement exploité un bar à vin à F.________ entre 2009 et 2011 et n'a, depuis, plus d'activité commerciale, son capital social étant même presque entièrement consommé par les pertes. Il la distingue de l'établissement D.________ de E.________, lequel appartient et est exploité par la société C.________ SA. 4.1. En vertu de l’art. 8 al. 1er de la loi du 25 juin 1982 sur l'assurance-chômage obligatoire et l'indemnité en cas d'insolvabilité (LACI; RS 837.0),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4.2. Toutefois, de jurisprudence constante et indépendamment de ces conditions,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(voir ATF 123 V 234; arrêt TF 8C_776/2011 du 14 novembre 2012 consid. 3.2 et les références citées).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w:t>
      </w:r>
    </w:p>
    <w:p>
      <w:r>
        <w:t>Tribunal cantonal TC Page 7 de 10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p. 238; arrêt TF 8C_776/2011 du 14 novembre 2012 consid. 3.2 et les références).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 une influence sur la perte de travail qu'elles subissent (ATF 123 V 234 consid. 7b/bb; arrêt TF 8C_1004/2010 du 29 juin 2011 consid. 5.2). 4.3.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SVR 1997 ALV no 101 p. 311 consid. 5c). La seule exception à ce principe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DTA 2004 no 21 p. 196 consid. 3.2). Il en va de même, dans une société à responsabilité limitée, des associés, respectivement des associés-gérants lorsqu'il en a été désigné, lesquels occupent collectivement une position comparable à celle du conseil d'administration d'une société anonyme (arrêts C 37/02 du 22 novembre 2002 consid. 4; C 71/01 du 30 août 2001). C'est parce qu'elle considère que ce risque d'abus est d'emblée réalisé en ce qui concerne les membres des conseils d'administration disposant ex lege d'un pouvoir déterminant au sens de l'art. 31 al. 3 let. c LACI que la jurisprudence exclut leur droit à prestations sans qu'il soit nécessaire de déterminer plus concrètement les responsabilités qu'ils exercent au sein de la société. Aussi, n'y a-t-il pas lieu de considérer que le risque d'abus est écarté du simple fait que le contrat de travail a été résilié et que le membre du conseil d'administration n'exerce plus une activité salariée au service de la société. On doit bien plutôt admettre que, malgré son licenciement formel, l'intéressé est toujours en mesure de fixer les décisions de l'employeur ou, du moins, de les influencer de manière déterminante en sa qualité de membre du conseil d'administration (arrêt TF 8C_140/2010 du 12 octobre 2010 consid. 4.3.2).</w:t>
      </w:r>
    </w:p>
    <w:p>
      <w:r>
        <w:t>Tribunal cantonal TC Page 8 de 10 Pour fixer le moment de la sortie du conseil d'administration d'une société anonyme, il y a lieu de prendre en considération, par analogie avec la jurisprudence concernant l'art. 52 LAVS, non pas la date de la radiation de l'inscription au registre du commerce ou celle de la publication dans la Feuille officielle suisse du commerce, mais le moment de la démission effective du conseil d'administration (ATF 126 V 134 consid. 5b). La démission est une déclaration de volonté unilatérale sujette à réception (BÖCKLI, Schweizer Aktienrecht, 4ème éd., 2009, p. 1562 n. 57a). Elle n'est soumise à aucune forme particulière, encore qu'un document écrit soit mieux susceptible d'établir la démission effective (MÜLLER/LIPP/PLÜSS, Der Verwaltungsrat, 3ème éd., 2007, p. 135). 5. En l'occurrence, il apparaît que la problématique de la position assimilable à celle d'un employeur ne se limite pas à la société D.________ Sàrl, essentiellement traitée dans le cadre du recours, mais s'étend aussi à la société C.________ SA. 5.1. On rappellera, à ce stade, que le moment où a été rendue la décision litigieuse délimite, en règle générale, l'état de fait déterminant permettant d'examiner la légalité de l'acte attaqué. Ainsi, le juge n'a pas à prendre en considération les modifications de l'état de fait postérieures à cette date (ATF 132 V 215 consid. 3.1.1; 129 V 1 consid. 1.2). Tel est en particulier le cas des (nouveaux) événements rapportés par le recourant tant dans son recours que dans son mémoire complémentaire du 12 octobre 2018. Il est donc sans incidence sur l'issue de la présente procédure que le recourant ait conclu, le 6 juillet 2018, un contrat de cession à titre gratuit de toutes ses parts sociales de la société D.________ Sàrl. De même, il n'est pas pertinent qu'il ait cédé ses parts sociales et ne soit désormais plus inscrit en tant qu'associé-gérant de cette même société. 5.2. S'agissant d'abord de la société C.________ SA, la Cour constate que, jusqu'au 28 mars 2018, date de "l'assemblée générale du conseil d'administration de société C.________ SA", l'assuré était encore formellement membre du conseil d'administration de cette société. C'est uniquement depuis cette date qu'il a été "révoqué du conseil d'administration de la société C.________ SA avec effet immédiat" (dossier Caisse, p. 43). Au vu de la jurisprudence citée ci-avant (consid. 3.3), de par sa qualité de membre du conseil d'administration, le recourant occupait une position assimilable à un employeur au sein de cette société à tout le moins jusqu'au 28 mars 2018. C'est donc à juste titre que l'autorité intimée a nié au recourant le droit à des indemnités de chômage du 1er au 28 mars 2018. Pour la période ultérieure, tel n'est par contre plus le cas, et cela quand bien même les radiations du registre du commerce ont été requises et publiées par après (étant rappelé que le droit de signature collective à deux a été révoqué le 3 avril 2018 et la fonction d'administrateur le 5 juillet 2018). L'on doit en effet considérer que le recourant avait effectivement démissionné de son rôle d'administrateur. La participation de 33.3% au capital social de cette société ne permet pas non plus de lui reconnaitre une position assimilable à celle d'un employeur. En effet, le recourant n'est concrètement pas susceptible d'influencer les décisions de la société, y compris par le biais d'une minorité de blocage, au vu de la répartition de la participation entre deux associés seulement.</w:t>
      </w:r>
    </w:p>
    <w:p>
      <w:r>
        <w:t>Tribunal cantonal TC Page 9 de 10 Partant, s'agissant de la société C.________ SA, il faut retenir que, depuis le 28 mars 2018, date de la sortie du conseil d'administration de la société, le recourant n'y occupe plus une position assimilable à celle de l'employeur. 5.3. Reste à examiner si l'on peut mettre à charge du recourant sa position d'associé-gérant de la société D.________ Sàrl. Sur ce plan, le recourant affirme que cette dernière est une entité juridiquement indépendante de la société C.________ SA qui a exploité un bar à vin à F.________ jusqu'en mai 2011 et qui est sans activité depuis lors et dont le capital social est presque entièrement consommé par ses pertes. Ces affirmations sont confirmées par les pièces produites par le recourant à l'appui de son recours (cf. not. bordereau, pièces 3, 4 et 6). Cependant, il n'en demeure pas moins que le recourant occupait – jusqu’à la date déterminante du</w:t>
      </w:r>
    </w:p>
    <w:p>
      <w:r>
        <w:rPr>
          <w:b/>
        </w:rPr>
        <w:t>E. 8</w:t>
      </w:r>
    </w:p>
    <w:p>
      <w:r>
        <w:t>juin 2018, mais également bien plus tard – la position d'associé-gérant, titulaire du droit de signature collective à deux, dans la société D.________ Sàrl. Son engagement ou son réengagement par sa société ne pouvait donc pas être définitivement exclu. Cette manière d'envisager les choses est conforme à la jurisprudence du Tribunal fédéral qui veut non seulement prévenir une demande abusive à l'assurance-chômage, mais aussi le simple risque d'abus. Or, tant que la personne concernée est en mesure de fixer les décisions de l’employeur ou du moins de les influencer – notamment en lien avec son (ré)engagement – la perte de travail n’est pas aisément vérifiable par la Caisse et il n’est pas possible d’écarter un risque d’abus. Ce risque existe même si dite société est provisoirement sans activité, étant relevé qu'une société préexistante peut être réactivée et déployer une activité, que cela soit à Fribourg ou ailleurs (cf. arrêt TF C 235/03 du 22 décembre 2003 consid. 4). Ce risque était d'autant plus plausible en l'espèce que la structure et les raisons sociales des différentes sociétés du recourant pouvaient induire en erreur. L'assuré était en effet associé à la fois de la société D.________ Sàrl et de la société C.________ SA. Cette dernière exploite le bar à vin D.________ à la Rue G.________ à E.________, soit à la même adresse que la société à responsabilité du même nom, avec un but social relativement proche, soit "l'exploitation de bars à vin, restaurants et hôtels", et deux associés-gérants identiques. Même s’il s’avère finalement que le risque ne se serait pas réalisé, le recourant ayant à des dates successives quitté la position d’administrateur, respectivement d'associé-gérant des deux sociétés, ce flou était susceptible, au moment déterminant où la décision sur réclamation a été rendue, de compliquer le travail de contrôle de la Caisse. A ce stade, la Cour s'étonne par ailleurs que l'inscription de la société D.________ Sàrl ait été maintenue durant toutes ces années, et plus particulièrement des motifs donnés par le recourant. Celui-ci fait ainsi notamment état de "raisons financières car cette opération aurait été trop coûteuse et administrativement trop conséquente" (bordereau recours, pièce 3), alors que ces mêmes raisons n'ont jamais empêché les administrateurs de mandater une société externe afin de tenir les comptes de la société, ce qui a également un coût tant financier qu'administratif. Quoi qu'il en soit, dans ces circonstances, c'est à juste titre que l'autorité intimée a nié au recourant le droit à l'indemnité-journalière, celui-ci ayant encore la position d'associé-gérant dans l’entreprise D.________ Sàrl au moment déterminant où la décision sur réclamation a été rendue.</w:t>
      </w:r>
    </w:p>
    <w:p>
      <w:r>
        <w:t>Tribunal cantonal TC Page 10 de 10 Au vu de l'ensemble de ce qui précède, le recours, mal fondé, doit être rejeté et la décision sur opposition litigieuse confirmée. Le dossier sera, cela étant, transmis à la Caisse pour qu’elle statue sur le droit du recourant à des indemnités de chômage à partir d’une date postérieure à la décision attaquée, en raison de changements ultérieurs de circonstances en lien avec la cession des parts et la démission du poste d’associé-gérant de la société D.________ Sàrl, étant précisé que le recourant a déposé une nouvelle demande d'indemnités de chômage le 10 octobre 2018. Il n'est pas perçu de frais de procédure, en application du principe de la gratuité valant en la matière, ni alloué de dépens au vu de l'issue du recours. la Cour arrête : I. Le recours est rejeté. Le dossier est retourné à la Caisse pour qu’elle statue sur le droit du recourant à des indemnités de chômage à partir d’une date postérieure à la décision attaquée.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décembre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