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161 vom 21. November 2018</w:t>
      </w:r>
    </w:p>
    <w:p>
      <w:r>
        <w:t>FR Kantonsgericht, 2018-11-21, FR</w:t>
      </w:r>
    </w:p>
    <w:p>
      <w:r>
        <w:rPr>
          <w:b/>
        </w:rPr>
        <w:t xml:space="preserve">Quelle: </w:t>
      </w:r>
      <w:r>
        <w:t>https://mcp.opencaselaw.ch/entscheid/fr_gerichte_605_2018_161</w:t>
      </w:r>
    </w:p>
    <w:p>
      <w:r>
        <w:t>FR: FR_GERICHTE 605 2018 161 du 21 novembre 2018</w:t>
      </w:r>
    </w:p>
    <w:p>
      <w:r>
        <w:t>IT: FR_GERICHTE 605 2018 161 del 21 novembre 2018</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 y compris en cas de troubles somatoformes douloureux persistants ou de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 troubles somatoformes douloureux persistants ou fibromyalgie compris – suppose la présence d'un diagnostic émanant</w:t>
      </w:r>
    </w:p>
    <w:p>
      <w:r>
        <w:t>Tribunal cantonal TC Page 4 de 13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3.2</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w:t>
      </w:r>
    </w:p>
    <w:p>
      <w:r>
        <w:t>Tribunal cantonal TC Page 5 de 13 Cette comparaison des revenus s’effectue, en règle générale, en chiffrant aussi exactement que possible les montants de ces deux revenus (RCC 1985 p. 469).</w:t>
      </w:r>
    </w:p>
    <w:p>
      <w:r>
        <w:rPr>
          <w:b/>
        </w:rPr>
        <w:t>E. 3.3</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w:t>
      </w:r>
    </w:p>
    <w:p>
      <w:r>
        <w:rPr>
          <w:b/>
        </w:rPr>
        <w:t>E. 3.4</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du règlement du 17 janvier 1961 sur l'assurance-invalidité (RAI; RS 831.201)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w:t>
      </w:r>
    </w:p>
    <w:p>
      <w:r>
        <w:t>Tribunal cantonal TC Page 6 de 13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rPr>
          <w:b/>
        </w:rPr>
        <w:t>E. 4.2</w:t>
      </w:r>
    </w:p>
    <w:p>
      <w:r>
        <w:t>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w:t>
      </w:r>
    </w:p>
    <w:p>
      <w:r>
        <w:t>Tribunal cantonal TC Page 7 de 13</w:t>
      </w:r>
    </w:p>
    <w:p>
      <w:r>
        <w:rPr>
          <w:b/>
        </w:rPr>
        <w:t>E. 5.1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5.2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5.3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w:t>
      </w:r>
    </w:p>
    <w:p>
      <w:r>
        <w:t>Tribunal cantonal TC Page 8 de 13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5.4</w:t>
      </w:r>
    </w:p>
    <w:p>
      <w:r>
        <w:t>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9C_687/2014 du 30 mars 2015 consid. 4.3.1;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w:t>
      </w:r>
    </w:p>
    <w:p>
      <w:r>
        <w:rPr>
          <w:b/>
        </w:rPr>
        <w:t>E. 6</w:t>
      </w:r>
    </w:p>
    <w:p>
      <w:r>
        <w:t>Est d'abord contesté l'usage de la méthode spécifique d'évaluation de l'invalidité, ce qui implique d'examiner les pièces au dossier. Dans sa quatrième demande de prestations du 27 avril 2017, la recourante a indiqué être femme au foyer depuis mai 2012 (dossier OAI, p. 583). Dans le questionnaire à l'intention des personnes</w:t>
      </w:r>
    </w:p>
    <w:p>
      <w:r>
        <w:t>Tribunal cantonal TC Page 9 de 13 s'occupant du ménage, la recourante indique n'avoir aucun employeur et répond par la négative à la question "aujourd'hui et sans handicap, une activité lucrative serait-elle exercée?" (dossier OAI, p. 611). A l'enquêtrice, elle indique qu'elle n'a pas envoyé de postulations depuis 2012 (dossier OAI, p. 686). Cependant, le contenu de la quatrième demande de prestations du 27 avril 2017 peut également être compris comme la seule indication de son statut actuel. Dans ce sens, il n'atteste que le fait qu'elle est femme au foyer depuis mai 2012 (dossier OAI, p. 583). Au demeurant, la recourante avait déjà répondu par la négative à la question "aujourd'hui et sans handicap, une activité lucrative serait-elle exercée?" dans le précédent questionnaire à l'intention des personnes s'occupant du ménage qui lui avait été adressé (dossier OAI, p. 453). Cela n'avait pourtant pas empêché l'OAI de considérer que l'assurée aurait poursuivi l'exercice d'une activité lucrative à un taux de 50% et consacré le 50% restant à la tenue de de son ménage dans sa décision du 1er octobre 2013 (dossier OAI, p. 569). Par ailleurs, l'absence de postulation "avouée" à l'enquêtrice est mise en lien avec les différentes atteintes à la santé de la recourante ("Elle avoue qu'elle n'a pas recherché de travail depuis 2012. Elle justifie en abordant ses différentes atteintes à la santé"; dossier OAI, p. 686). Les différentes déclarations de la recourante doivent ainsi être fortement relativisées. Au contraire, l'on constate, que, suite à son licenciement en mai 2012, la recourante a bénéficié de prestations de l'assurance-chômage, puis a cotisé des sommes réduites jusqu'en 2015 ce qui présage de l'exercice d'une activité lucrative, bien que réduite (dossier OAI, p. 601). Entre 2012 et 2018, elle a fait différentes postulations pour des taux d'environ 50%, soit le même pourcentage qu'elle exerçait auprès de ses derniers employeurs avant la survenance de sa dernière période d'incapacité de travail (dossier OAI, p. 451; cf. ég. bordereau recours, pièces 4). Dans ces circonstances, il apparaît que l'absence de travail décrétée par l'OAI s'inscrit uniquement dans un contexte de périodes où une incapacité de travail est alléguée et, par ailleurs, médicalement attestée par certains médecins. On ne saurait rien en déduire, d'autant plus qu'il existe des recherches d'emploi de la part de la recourante. La thèse de l'OAI quant à l'absence de toute activité professionnelle apparaît dénuée de fondement. Il est bien plus vraisemblable que, en santé, la recourante aurait continué à travailler à un taux de 50%. La méthode dite mixte d'évaluation du taux d'invalidité trouve donc application.</w:t>
      </w:r>
    </w:p>
    <w:p>
      <w:r>
        <w:rPr>
          <w:b/>
        </w:rPr>
        <w:t>E. 7</w:t>
      </w:r>
    </w:p>
    <w:p>
      <w:r>
        <w:t>S'agissant d'une nouvelle demande déposée le 27 avril 2017, il convient d'examiner si le taux d'invalidité de la recourante a subi une modification notable. La décision du 1er octobre 2013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w:t>
      </w:r>
    </w:p>
    <w:p>
      <w:r>
        <w:t>Tribunal cantonal TC Page 10 de 13 Dans un premier temps, la Cour se concentrera sur l'évolution de la capacité de gain sous l'angle de l'exercice d'une activité lucrative.</w:t>
      </w:r>
    </w:p>
    <w:p>
      <w:r>
        <w:rPr>
          <w:b/>
        </w:rPr>
        <w:t>E. 7.1</w:t>
      </w:r>
    </w:p>
    <w:p>
      <w:r>
        <w:t>Dans sa décision du 1er octobre 2013, du 29 juin 2010 (début du délai d'attente d'un an) au 31 mars 2012, l'OAI avait considéré que l'assurée ne pouvait exercer son activité d'employée de bureau qu'à un 50% de son 50%. Pour la suite, depuis le 1er avril 2012, l'Office a fixé l'incapacité à 41% dans l'activité lucrative (dossier OAI, p. 569). Lorsque l'assurée avait déposé sa demande de prestations le 16 octobre 2011, le Dr C.________, spécialiste en médecine interne générale, diagnostiquait un syndrome douloureux diffus de l'avant- bras, du poignet et de la main gauche. Il attestait d'une capacité de travail de 50% d'un mi-temps dans l'activité d'employée de bureau (dossier OAI, p. 128, 152, 290, 323; cf. ég. p. 129, 131). A la même époque, le Dr D.________, spécialiste en chirurgie orthopédique et traumatologie de l'appareil locomoteur, faisait également état d'une extension douloureuse de la main gauche, lequel empêchait sa patiente à travailler à plus de 50% de son mi-temps (dossier OAI, p. 147). Cette situation s'est cependant améliorée. En mars 2012, le Dr C.________ a ainsi estimé la capacité de travail à un 100% d'un 50%, compte tenu d'une légère diminution de rendement, dans l'ancienne activité d'employée de bureau qu'il considérait comme adaptée (rapports des 13 mars et 30 octobre 2012, dossier OAI, p. 323 et 441; cf. ég. p. 347, 381, 382, 472, 532). Pour sa part, le Dr E.________, spécialiste en chirurgie plastique, reconstructive et esthétique et en chirurgie de la main, a indiqué que sa patiente pouvait exercer l'activité de secrétaire à 100%, émettant seulement des restrictions en lien avec des activités lourdes (rapport du 7 mai 2013, dossier OAI, p. 464; cf. ég. p. 517 et 534). Le médecin d'arrondissement de l'assurance-accidents qui prenait en charge l'accident du 26 juin 2010, le Dr F.________, spécialiste en médecine physique et réadaptation et en rhumatologie, estimait d'abord "souhaitable que [la recourante] puisse continuer à bénéficier d'une incapacité de travail de 50% à partir du 01.06.2012" (rapport du 4 juin 2012, dossier OAI, p. 393). Il a, par la suite, considéré qu'une activité adaptée – notamment celle d'employée de bureau – pouvait être exercée à 100% avec un plein rendement. Le médecin émettait des restrictions en lien avec la main gauche (vibrations, à-coups, ports de charges de plus de 2 kg environ, activité monotone ou répétitive, contrainte) et avec la main droite (limitation partielle au point de vue de la charge et de la force de préhension) (rapport du 4 avril 2013, dossier OAI, p. 493). A l'instar de l'OAI dans sa décision du 1er octobre 2013, l'on constate ainsi l'existence d'une capacité de travail de l'ordre de 25% (50% de 50%) jusqu'en mars 2012, date du premier rapport du Dr C.________ attestant d'une capacité de travail de 50%. Puis, celle-ci doit être considérée comme entière dès avril 2013, ainsi que l'attestent le Dr F.________ et le Dr E.________.</w:t>
      </w:r>
    </w:p>
    <w:p>
      <w:r>
        <w:rPr>
          <w:b/>
        </w:rPr>
        <w:t>E. 7.2</w:t>
      </w:r>
    </w:p>
    <w:p>
      <w:r>
        <w:t>Reste à examiner si la situation a évolué depuis lors. Dans sa demande du 27 avril 2017, la recourante se prévalait de l'hypotrophie de l'hémicorps droit présente depuis sa naissance, mais également de gonalgies persistantes à la suite d'un trauma de juillet 2016 (genou droit contre la rambarde d'un escalier) ainsi que d'entorses récidivantes (dossier OAI, p. 583). Certains médecins attestent d'une capacité de travail extrêmement restreinte. En particulier, le Dr C.________ estime ainsi que sa patiente "est limitée dans quasiment toutes les activités usuelles". Selon lui, "il n'y a pas eu de certificat officiel d'incapacité de travail, mais il y a lieu d'admettre une incapacité totale du fait de l'importance de la pathologie, tout d'abord au niveau du</w:t>
      </w:r>
    </w:p>
    <w:p>
      <w:r>
        <w:t>Tribunal cantonal TC Page 11 de 13 genou, puis, distalement dans tout le membre" (rapport du 1er septembre 2017, dossier OAI, p. 653). Pour sa part, le Dr G.________, spécialiste en psychiatrie et psychothérapie, indique que "l'incapacité de toute activité lucrative est observée". Son discours n'est cependant pas claire, le psychiatre tendant à rattacher cette incapacité de travail essentiellement à des troubles somatiques, renvoyant notamment à l'avis des "médecins somaticiens" lorsqu'interrogé sur la problématique de la réinsertion, mais également à des motifs extra-médicaux tels qu'une situation familiale complexe (rapport du 19 juillet 2017, dossier OAI, p. 647; rapport du 5 juillet 2018, bordereau, pièce 21). Cette incapacité totale de travail attestée par le généraliste et le psychiatre traitant est relativisée par la Dresse H.________, spécialiste en rhumatologie et en médecine interne générale. Celle-ci fait état des diagnostics invalidants de (suspicion de) CRPS au genou droit, de faiblesse du corps du côté droit et status après pied bot droit, ainsi que du diagnostic non-invalidant de dépression. Elle estime que sa patiente ne peut travailler que quatre heures par jours dans une activité assise ou permettant le changement de positions, sans position penchée, accroupie ou à genoux, sans travail avec les mains au dessus de la tête, sans port de charges et sans travail sur une échelle ou sur des escaliers (rapport du 24 juin, dossier OAI, p. 616; cf. ég. p. 660). L'appréciation de la capacité de travail des précités n'est, cela étant, pas partagée par le Dr I.________, spécialiste en chirurgie orthopédique et traumatologie de l'appareil locomoteur. Celui-ci diagnostique un "lymphoedème épifacial secondaire d'origine mutlifactorielle" ainsi qu'une "instabilité ligamentaire au pied droit". Il estime que ces diagnostics ne limitent pas l'assurée dans l'exercice d'une activité, pour autant que celle-ci permette un changement de position, que le périmètre de marche soit très limité (2 mètres) et qu'il n'y ait pas de port de charge de plus de 5 kg (rapport du 30 juin 2017, dossier OAI, p. 638). De même, le Dr J.________, spécialiste en médecine interne générale et en angiologie, n'atteste d'aucune incapacité de travail: Mais il précise se limiter au strict point de vue angiologique (rapport du 3 juillet 2017, dossier OAI, p. 631; cf. ég. p. 635). Enfin, le Dr K.________, spécialiste en anesthésiologie, du Service médical régional, n'examine pas réellement le cas de la recourante, se prévalant du motif qui suit: "l'assurée est actuellement femme au foyer. Les atteintes à la santé actuellement alléguées ne sont certainement pas responsables d'empêchements ménagers importants. Cependant, l'invalidité des ménagères doit être chiffrée par une enquête ménagère et pas par le médecin" (rapport du 9 novembre 2017, dossier OAI, p. 665).</w:t>
      </w:r>
    </w:p>
    <w:p>
      <w:r>
        <w:rPr>
          <w:b/>
        </w:rPr>
        <w:t>E. 7.3</w:t>
      </w:r>
    </w:p>
    <w:p>
      <w:r>
        <w:t>Il ressort de ce qui précède que la situation médicale n'est pas claire. Dans le présent cas, l'OAI semble s'être – suivant en cela l'avis du médecin du SMR – contentée de cette situation car il envisageait de fonder sa décision sur les seules conclusions de l'enquête économique sur le ménage en raison de l'utilisation de la méthode spécifique. Néanmoins, même l'usage de la seule méthode spécifique – laquelle, on l'a dit, ne trouve pas application ici – ne libèrerait pas l'administration de son devoir d'examiner la situation médicale de manière complète et convaincante. En effet, pour qu'un rapport d'enquête économique sur le ménage puisse être suivi, l'enquêteur doit avoir pleinement connaissance des empêchements et des handicaps résultant des diagnostics médicaux. Si les rapports médicaux se révèlent – comme dans le présent cas – contradictoires entre eux – le champ allant du 0% au 100% –, l'on est bien en peine de déterminer à quelles conclusions médicales l'enquêteur peut se fier.</w:t>
      </w:r>
    </w:p>
    <w:p>
      <w:r>
        <w:t>Tribunal cantonal TC Page 12 de 13 En l'espèce, le dossier de la cause ne permet donc pas à la Cour de trancher la question litigieuse. Dans ces circonstances, il convient de renvoyer le dossier à l'autorité intimée pour instruction complémentaire afin non seulement d'apprécier de manière convaincante la situation médicale mais aussi de déterminer les limitations de la recourante tant dans une activité lucrative que dans ses activités domestiques. Il appartiendra en outre à l'autorité intimée de tenir compte des nouvelles dispositions réglementaires relatives à la méthode mixte entrées en vigueur le 1er janvier 2018. A cet égard et au vu des considérants de la décision d'espèce, elle devra veiller à respecter les recommandations déjà émises par la IIème Cour des assurances sociales dans ses arrêts du 6 mars 2018 (608 2017 18) et du 16 juillet 2018 (608 2018 45 consid. 6.1) s'agissant de l'évaluation de l'incapacité dans le domaine ménager, soit ne pas prendre en compte un devoir d'assistance forfaitaire. Compte tenu de l'admission du recours et du renvoi, il n'est pas nécessaire de statuer sur la prétendue violation du droit d'être entendu.</w:t>
      </w:r>
    </w:p>
    <w:p>
      <w:r>
        <w:rPr>
          <w:b/>
        </w:rPr>
        <w:t>E. 8</w:t>
      </w:r>
    </w:p>
    <w:p>
      <w:r>
        <w:t>Au vu de l'ensemble des considérants qui précèdent, le recours (605 2018 161), bien fondé, doit être admis. Partant, la décision attaquée est annulée et le dossier renvoyé à l'autorité intimée pour instruction complémentaire et nouvelle décision dans le sens des considérants. Le recours étant admis, la demande d'assistance judiciaire totale (605 2018 162) devient sans objet. Compte tenu de l'issue du litige, il convient de condamner l'autorité intimée qui succombe à des frais de procédure par CHF 800.-. Ayant obtenu gain de cause, la recourante a droit une indemnité de partie pour ses frais de défense. Invité à produire sa liste de fais détaillée par courrier du 21 août 2018, le mandataire du recourant n'en a produit aucune de sorte que la Cour fixe l'indemnité d’office et selon sa libre appréciation (art. 11 al. 1 des frais de procédure et des indemnités en matière de juridiction administrative; Tarif JA, RSF 150.12). Compte tenu de l'importance et de la difficulté de l'affaire (art. 11 al. 2 Tarif JA), celle-ci est fixée à un montant total de CHF 2'800.20, soit CHF 2'500.- au titre d'honoraires (10 heures à CHF 250.-), CHF 100.- au titre de frais et CHF 200.20 au titre de la TVA (7.7%). Le montant total est donc de CHF 2'800.20, dont CHF 200.20 au titre de la TVA (7.7%). Ce montant est intégralement mis à la charge de l'autorité intimée qui succombe. (dispositif en page suivante)</w:t>
      </w:r>
    </w:p>
    <w:p>
      <w:r>
        <w:t>Tribunal cantonal TC Page 13 de 13 la Cour arrête: I. Le recours (605 2018 161) est admis. Partant, la décision du 4 juin 2018 est annulée et le dossier renvoyé à l'autorité intimée pour instruction complémentaire et nouvelle décision dans le sens des considérants. II. La demande d'assistance judiciaire totale (605 2018 162), devenue sans objet, est classée. III. Les frais de procédure, par CHF 800.-, sont mis à la charge de l'autorité intimée. IV. L'indemnité de partie allouée à la recourante pour ses frais de défense est fixée à CHF 2'800.20, dont CHF 200.20 au titre de la TVA (7.7%),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