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61 vom 5. Oktober 2017</w:t>
      </w:r>
    </w:p>
    <w:p>
      <w:r>
        <w:t>FR Kantonsgericht, 2017-10-05, FR</w:t>
      </w:r>
    </w:p>
    <w:p>
      <w:r>
        <w:rPr>
          <w:b/>
        </w:rPr>
        <w:t xml:space="preserve">Quelle: </w:t>
      </w:r>
      <w:r>
        <w:t>https://mcp.opencaselaw.ch/entscheid/fr_gerichte_605_2017_61</w:t>
      </w:r>
    </w:p>
    <w:p>
      <w:r>
        <w:t>FR: FR_GERICHTE 605 2017 61 du 5 octobre 2017</w:t>
      </w:r>
    </w:p>
    <w:p>
      <w:r>
        <w:t>IT: FR_GERICHTE 605 2017 61 del 5 ottobre 2017</w:t>
      </w:r>
    </w:p>
    <w:p>
      <w:pPr>
        <w:pStyle w:val="Heading2"/>
      </w:pPr>
      <w:r>
        <w:t>Regeste</w:t>
      </w:r>
    </w:p>
    <w:p>
      <w:r>
        <w:t>Arrêt de la Ie Cour des assurances sociales du Tribunal cantonal | Unfallversicherung</w:t>
      </w:r>
    </w:p>
    <w:p>
      <w:pPr>
        <w:pStyle w:val="Heading2"/>
      </w:pPr>
      <w:r>
        <w:t>Erwägungen</w:t>
      </w:r>
    </w:p>
    <w:p>
      <w:r>
        <w:rPr>
          <w:b/>
        </w:rPr>
        <w:t>E. 1</w:t>
      </w:r>
    </w:p>
    <w:p>
      <w:r>
        <w:t>Le recours, interjeté en temps utile et dans les formes légales auprès de l'autorité judiciaire compétente à raison du lieu ainsi que de la matière, est recevable, le recourant étant en outre directement atteint par la décision querellée et ayant dès lors un intérêt digne de protection à ce qu'elle soit, cas échéant, annulée ou modifiée.</w:t>
      </w:r>
    </w:p>
    <w:p>
      <w:r>
        <w:rPr>
          <w:b/>
        </w:rPr>
        <w:t>E. 2</w:t>
      </w:r>
    </w:p>
    <w:p>
      <w:r>
        <w:t>a) Conformément à l'art. 8 al. 1 de la loi du 6 octobre 2000 sur la partie générale du droit des assurances sociales (LPGA; RS 830.1), applicable par le biais de l'art. 1 al. 1 de la loi du 20 mars 1981 sur l'assurance-accidents (LAA; RS 832.20), est réputé invalidité l'incapacité de gain totale ou partielle qui est présumée permanente ou de longue durée. Selon l'art. 18 al. 1 LAA, si l'assuré est invalide à 10 % au moins par suite d'un accident, il a droit à une rente d'invalidité. Aux termes de l'art. 6 al. 1 LAA, les prestations d'assurance sont allouées en cas d'accident professionnel, d'accident non professionnel et de maladie professionnelle.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t>Tribunal cantonal TC Page 4 de 7 b)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Ce n'est qu'en l'absence d'un revenu effectivement réalisé – soit lorsque l'assuré, après la survenance de l'atteinte à la santé, n'a pas repris d'activité ou alors aucune activité adaptée, normalement exigible – que la jurisprudence admet la possibilité de se référer aux données statistiques, telles qu'elles résultent de l'enquête sur la structure des salaires (ESS) publiée par l'Office fédéral de la statistique (ATF 126 V 76 consid. 3b/aa et bb). On se réfère alors à la statistique des salaires bruts standardisés, en se fondant toujours sur la médiane ou valeur centrale (ATF 124 V 323 consid. 3b/bb). c) En ce qui concerne le revenu d'invalide,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Il convient en effet d'évaluer le revenu que l'assuré pourrait encore réaliser dans une activité adaptée avant tout en fonction de la situation concrète dans laquelle il se trouve. Lorsque l'assuré a repris l'exercice d'une activité lucrative après la survenance de l'atteinte à la santé, il faut d'abord examiner si cette activité repose sur des rapports de travail stables, met pleinement en valeur sa capacité de travail résiduelle et lui procure un gain correspondant au travail effectivement fourni, sans contenir d'éléments de salaire social. Si ces conditions sont réunies, on prendra en compte le revenu effectivement réalisé pour fixer le revenu d'invalide (ATF 126 V 75 consid. 3b/aa). Si, en revanche,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(OFS). Il est également possible de recourir à une enquête menée par la SUVA auprès de diverses entreprises suisses et qui a permis de réunir des données salariales concrètes pour de nombreux postes de travail faisant l'objet d'une description détaillée (ATF 129 V 472 consid. 4.2.1).</w:t>
      </w:r>
    </w:p>
    <w:p>
      <w:r>
        <w:rPr>
          <w:b/>
        </w:rPr>
        <w:t>E. 3</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w:t>
      </w:r>
    </w:p>
    <w:p>
      <w:r>
        <w:t>Tribunal cantonal TC Page 5 de 7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43/1996-1997 n°17 p. 83 consid. 2a; 39/1991 n°11 p. 99 et 100 consid. 1b; 38/1990 n°12 p. 67 consid. 1b et les arrêts cités; ATF 115 V 113 consid. 3d/bb). Dans cette mesure, en droit des assurances sociales, le fardeau de la preuve n'est pas subjectif, mais objectif (RCC 1984 p. 128 consid. 1b).</w:t>
      </w:r>
    </w:p>
    <w:p>
      <w:r>
        <w:rPr>
          <w:b/>
        </w:rPr>
        <w:t>E. 4</w:t>
      </w:r>
    </w:p>
    <w:p>
      <w:r>
        <w:t>Le présent litige porte exclusivement sur le revenu d'invalide retenu par l'autorité intimée, soit CHF 88'502.65. Aux dires de cette dernière, ce montant correspond à la moyenne des revenus perçus par le recourant entre 2006 et 2012, ce que ce dernier conteste. a) Il soutient d'abord que les comptes des années 2006 à 2012 comportent des entrées comptables qui ne sont pas liées à l'activité professionnelle telles que la rente complémentaires de l'assurance-invalidité, la rente de l'assurance-accidents et l'indemnité reçue dans le cadre de la responsabilité civile. Les faits dont il se prévaut ne sont toutefois pas attestés par la comptabilité versée au dossier. En particulier les comptes des années 2006 à 2012 ont explicitement et exclusivement trait à la "Raison individuelle, propriétaire A.________", soit à sa fortune commerciale. Cela exclut d'emblée les rentes d'assurance-sociale et les indemnités RC, lesquelles apparaissent dans la fortune privée. En outre, le chiffre d'affaire est constitué des "ventes brutes de marchandises", soit des "prestations de services et conseils", des "ventes brutes au comptant" et/ou des "commissions sur ventes". A ce montant, sont déduites les charges d'exploitation telles que les "frais de véhicules", "frais de téléphones", "frais de représentation de déplacement" et les "charges sociales AVS personnelles". Le résultat (bénéficiaire) est viré au capital de l'année suivante. Enfin, dans les dettes à court terme, les comptes mentionnent en outre la "TVA à payer". La lecture du grand livre confirme que les comptes présentés ne comportent pas les entrées constituées par des rentes, en l'absence de libellé idoine et de d'entrée mensuelle régulière. b) Le recourant affirme ensuite que sa situation s'est péjorée depuis 2012 et qu'il n'obtient désormais plus qu'un revenu mensuel entre CHF 4'000.- et CHF 4'500.-. Les raisons qu'il cite sont des intempéries (2013), des attaques d'insectes (2014) et des pertes liées à l'utilisation d'un produit phytosanitaire défectueux (2015), lesquelles ont eu pour conséquence une diminution du nombre de mandats qui lui ont été attribués. On ne peut que constater que ces explications ne sont pas liées à son état de santé, à fortiori à l'accident subi en 1989, mais exclusivement à des raisons conjoncturelles lesquelles ne sauraient manifestement engager l'assurance-accidents.</w:t>
      </w:r>
    </w:p>
    <w:p>
      <w:r>
        <w:t>Tribunal cantonal TC Page 6 de 7 La référence au revenu moyen soumis à cotisations sur plusieurs années – en l'occurrence sept ans – permet précisément d'éviter d'accorder trop de poids à une fluctuation passagère du revenu liée à d'autres motifs que l'invalidité. En outre, force est de remarquer que la perte de gain alléguée n'est aucunement prouvée par le recourant: celui-ci ne produit notamment pas les comptes de sa raison individuelle pour les années concernées. Il ne rend dès lors pas plausibles ses affirmations. Sur ce point, la Cour relève par ailleurs que les prestations d'assurance (assurance-invalidité, assurance-accidents) ont été supprimées à l'époque à la suite d'instructions dans le cadre desquelles il n'avait pas satisfait à son obligation de renseigner, notamment sur le plan économique. Il n'a pas recouru contre ces suppressions et l'on est ainsi en droit de partir du principe qu'il n'éprouvait alors plus aucune perte de gain. Dans ces conditions, compte tenu, d'une part, du recouvrement de la capacité de gain à l'époque et, d'autre part, des facteurs conjoncturels aujourd'hui invoqués à l'appui de sa nouvelle demande, force est de constater que la preuve d'une relation de causalité entre l'accident survenu en 1989 et l'actuelle perte de gain alléguée est difficilement prouvable. La responsabilité de l'assurance-accidents n'est dès lors, à tout le moins, pas établie non plus sous cet angle. c) La situation est suffisamment claire pour que le long délai d'instruction, excédant trois ans, ne permette pas de modifier cette appréciation. La comptabilité constitue en effet une base solide pour déterminer le revenu d'invalide perçu par le recourant. C'est donc à juste titre que l'autorité intimée a retenu le montant de CHF 88'502.65 au titre de revenu d'invalide qui correspond en l'espèce à ce qu'on est en droit d'exiger qu'il réalise. S’avérant mal fondé, le recours doit être rejeté et la décision sur opposition querellée confirmée. La procédure étant gratuite en matière d’assurance-accidents, il n’est pas perçu de frais de justice.</w:t>
      </w:r>
    </w:p>
    <w:p>
      <w:r>
        <w:t>Tribunal cantonal TC Page 7 de 7 la Cour arrête: I. Le recours est rejeté.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octobre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