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 vom 17. Oktober 2017</w:t>
      </w:r>
    </w:p>
    <w:p>
      <w:r>
        <w:t>FR Kantonsgericht, 2017-10-17, FR</w:t>
      </w:r>
    </w:p>
    <w:p>
      <w:r>
        <w:rPr>
          <w:b/>
        </w:rPr>
        <w:t xml:space="preserve">Quelle: </w:t>
      </w:r>
      <w:r>
        <w:t>https://mcp.opencaselaw.ch/entscheid/fr_gerichte_605_2017_29</w:t>
      </w:r>
    </w:p>
    <w:p>
      <w:r>
        <w:t>FR: FR_GERICHTE 605 2017 29 du 17 octobre 2017</w:t>
      </w:r>
    </w:p>
    <w:p>
      <w:r>
        <w:t>IT: FR_GERICHTE 605 2017 29 del 17 ottobre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Selon l'art. 28 al. 1 et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w:t>
      </w:r>
    </w:p>
    <w:p>
      <w:r>
        <w:rPr>
          <w:b/>
        </w:rPr>
        <w:t>E. 3</w:t>
      </w:r>
    </w:p>
    <w:p>
      <w:r>
        <w:t>a) Selon l'art. 17 al. 1 LPGA, si le taux d'invalidité du bénéficiaire de la rente subit une modification notable, la rente est, d'office ou sur demande, révisée pour l'avenir, à savoir augmentée ou réduite en conséquence, ou encore supprimée. Tout changement important de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w:t>
      </w:r>
    </w:p>
    <w:p>
      <w:r>
        <w:t>Tribunal cantonal TC Page 4 de 11 constatée se maintienne durant une assez longue période. Il en va de même lorsqu'un tel changement déterminant a duré trois mois déjà, sans interruption notable et sans qu'une complication prochaine ne soit à craindre (art. 88a al. 1 RAI; ATF 130 V 349 ss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n°4 p. 7; 9C_910/2010 du 7 juillet 2011 consid. 3.2 a contrario). b) Selon le principe défini à l'art. 7 al. 2 LPGA, seules les conséquences de l'atteinte à la santé sont prises en compte pour juger de la présence d'une incapacité de gain; ce principe vaut également en matière de révision de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 même; cf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TF 9C_163/2009 du 10 septembre 2010 consid. 4.2.2 et les références). c)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mesure préalable (arrêt TF 9C_163/2009 du 10 septembre 2010 consid. 4.2.2 et les références).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w:t>
      </w:r>
    </w:p>
    <w:p>
      <w:r>
        <w:t>Tribunal cantonal TC Page 5 de 11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des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En résumé, la jurisprudence précitée considère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 (cf. arrêt TF 9C_368/2010 du 31 janvier 2011 consid. 5.4).</w:t>
      </w:r>
    </w:p>
    <w:p>
      <w:r>
        <w:rPr>
          <w:b/>
        </w:rPr>
        <w:t>E. 4</w:t>
      </w:r>
    </w:p>
    <w:p>
      <w:r>
        <w:t>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w:t>
      </w:r>
    </w:p>
    <w:p>
      <w:r>
        <w:rPr>
          <w:b/>
        </w:rPr>
        <w:t>E. 9</w:t>
      </w:r>
    </w:p>
    <w:p>
      <w:r>
        <w:t>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et les arrêts cités; ATF 115 V 113 consid. 3d/bb). Dans cette mesure, en droit des assurances sociales, le fardeau de la preuve n'est pas subjectif, mais objectif (RCC 1984 p. 128 consid. 1b).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qu'une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w:t>
      </w:r>
    </w:p>
    <w:p>
      <w:r>
        <w:t>Tribunal cantonal TC Page 6 de 11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5. Le litige porte sur l'évolution du taux d'invalidité de l'assuré, particulièrement sur l'évolution de sa capacité de travail résiduelle. En d'autres termes, il sied de vérifier si l'état de santé du recourant s'est ou non modifié au point de devoir entraîner une diminution de sa perte de gain. a) La décision du 5 septembre 2012, octroyant une rente entière, constitue le point de départ temporel. Il s'agit en effet de la seule décision entrée en force qui repose sur un examen matériel du droit à la rente. L'incapacité de travail se fondait à l'époque sur les appréciations suivantes: Dans son rapport médical du 21 décembre 2010, le Dr B.________, spécialiste FMH en médecine interne et maladie des reins, pose les diagnostics suivants avec effet sur la capacité de travail: insuffisance rénale avancée avec hypertension artérielle, anémie rénale et asthénie, état anxio- dépressif latent dans un contexte psychosocial difficile. S'agissant des diagnostics sans effet sur la capacité de travail, il mentionne une spondylite ankylosante de Bechterew et une dyspepsie. Il indique qu'à court-moyen terme, un traitement par dialyse ou une transplantation rénale devra être envisagée. Dans son rapport médical du 29 décembre 2010, le Dr C.________, spécialiste FMH en médecine interne, pose les diagnostics suivants avec effet sur la capacité de travail: spondylarthrite ankylosante de Bechterew, insuffisance rénale avancée (stade 4), atrophie du rein droit, HTA secondaire à l'insuffisance rénale. Il présente des restrictions physiques en raison des lombalgies chroniques dues à sa maladie rhumatologique et aux symptômes généraux occasionnés par l'insuffisance rénale chronique avancée. Il précise que l'activité exercée n'est plus exigible et que le rendement est réduit de 100%.</w:t>
      </w:r>
    </w:p>
    <w:p>
      <w:r>
        <w:t>Tribunal cantonal TC Page 7 de 11 Dans son rapport médical du 23 mai 2011, le Dr B.________ relève un état de santé stationnaire tout en attestant une capacité de travail de 60%. Dans son rapport médical du 8 juillet 2011, la Dresse D.________ du SMR indique qu'il y a une atteinte à la santé invalidante depuis le 2 mai 2010, les diagnostics avec conséquences sur la capacité de travail sont l'insuffisance rénale terminale et la maladie de Bechterew et le diagnostic sans conséquences sur la capacité de travail est l'hypertension artérielle secondaire. Elle propose de clarifier la capacité résiduelle de travail au moyen d'un stage d'observation professionnelle. Lors de l'entretien du 19 octobre 2011 à l'OAI en vue de la mise sur pied du stage, l'assuré "n'est pas d'accord avec l'idée d'un tel stage. Il ne veut pas entendre parler d'un énième stage, dont il ne voit aucunement l'utilité. Il ne veut pas travailler pour rien. (…) Vu son état de santé actuel, il s'estime tout à fait inapte à faire un quelconque stage. Se considérant lui-même comme foutu, il demande à ce que son dossier médical soit réactualisé auprès de son néphrologue". Dans son rapport médical du 21 novembre 2011, le Dr B.________ fait mention d'une péjoration de la fonction rénale, actuellement au stade terminal. La mise sous dialyse ou à une transplantation rénale est en cours de préparation. Le 13 décembre 2011 et le 3 avril 2012, le SMR a conclu que l'état de santé de l'assuré était incompatible avec une activité professionnelle étant donné que l'insuffisance rénale est arrivée en phase terminale avec l'attente d'une greffe. Une première procédure de révision de rente a été lancée en août 2013. Le Dr B.________ attestant à nouveau une aggravation de l'état de santé de son patient (rapport médical du</w:t>
      </w:r>
    </w:p>
    <w:p>
      <w:r>
        <w:rPr>
          <w:b/>
        </w:rPr>
        <w:t>E. 11</w:t>
      </w:r>
    </w:p>
    <w:p>
      <w:r>
        <w:t>septembre 2013), la rente entière a été confirmée par communication du 24 octobre 2013. b) Pour supprimer la rente, l'OAI s'est fondé sur les pièces médicales suivantes. Dans son rapport médical du 17 décembre 2014, le Dr E.________, nephrologue FMH, atteste toujours une incapacité de travail à 100%. Il précise que son patient subit des dialyses trois fois par semaine et qu'une transplantation rénale est en principe prévue en mars-avril 2015. Selon lui, la capacité de travail devrait s'améliorer après la transplantation rénale et la situation devrait être réévaluée avant le 2ème semestre 2015. Dans son rapport médical du 31 août 2015, ce médecin informe l'OAI que ce patient n'est plus traité par lui et qu'il est désormais suivi par le CHUV. Dans son rapport médical du 8 octobre 2015, la Dresse F.________, du centre de transplantation du CHUV, indique que l'assuré a bénéficié d'une transplantation rénale le 5 mai 2015 et que l'incapacité de travail est toujours entière en raison de celle-ci. Elle pourra être réévaluée à partir du 1er décembre 2015. S'agissant des diagnostics sans effet sur la capacité de travail, elle cite l'HTA, la maladie de Bechterew, la goutte et l'hyperparathyroïdie secondaire. Dans son rapport médical du 25 mai 2016, le Dr G.________, du centre de transplantation du CHUV, relève que l'état de santé de l'assuré s'est amélioré depuis la greffe en mai 2015. Il mentionne un pronostic favorable sur le plan de la greffe rénale tant que la prise médicamenteuse est adéquate et en l'absence d'élément intercurrent notable depuis la greffe. Dans les diagnostics avec effet sur la capacité de travail, il mentionne le fait que l'assuré ait subi une greffe en mai 2015</w:t>
      </w:r>
    </w:p>
    <w:p>
      <w:r>
        <w:t>Tribunal cantonal TC Page 8 de 11 ainsi qu'une maladie de Bechterew. Pour ce médecin, une activité adaptée, sans ports de charges, avec possibilité de prendre ses médicaments et ayant un horaire normal est envisageable à 100%. Dans son rapport médical du 18 octobre 2016, le Dr H.________ du SMR mentionne que l'état de santé de l'assuré s'est amélioré depuis le mois de novembre 2015. En effet, depuis le mois de novembre 2015, il présente, selon le Dr G.________, une capacité de travail médico-théorique de 100% sans diminution de rendement dans une activité sédentaire principalement en position assise, sans port de charge de plus de 10 kg, sans devoir se pencher ou travailler en porte-à-faux rachidien, ceci dans un milieu exempt de poussières et de risque infectieux. Il précise en effet qu'un diagnostic de spondylarthrite ankylosante évolutive de type Bechterew a été posé en 2011 avec évolution vers une colonne vertébrale "bambou" (rapport médical de la Dresse I.________ du 21 janvier 2011), avec raideur interarticulaire ne permettant pas à l'assuré de se pencher ni de travailler en positions de porte-à-faux rachidien, ni de porter des charges de plus de 10 kg. Dans son rapport médical du 16 décembre 2016, la Dresse J.________, du centre de transplantation du CHUV, indique qu'actuellement la fonction rénale est stable sous traitement immunosuppresseur à plus d'un an post greffe. Le patient devra néanmoins être sous traitement immunosuppresseur et néphroprotecteur à vie, avec un suivi médical spécialisé rapproché. Sur le plan rénal, et de la greffe en général, le pronostic est bon à moyen terme en l'absence d'épisode de rejet ou de survenue d'autres complications liées à l'immunosuppression (infection, tumeur, complications cardiovasculaires). Ainsi, sur le plan rénal et de la greffe en général, il n'y a pas de contre-indication à une reprise progressive d'activité professionnelle dans un travail adapté, à savoir un lieu protégé permettant d'éviter l'exposition à de potentiels pathogènes notamment respiratoires, un port de charge limité, des horaires réguliers et non de nuit. Il faudra aussi tenir compte dans cette reprise d'activité, de ses autres comorbidités notamment de la maladie de Bechterew. Le patient est actuellement déconditionné physiquement, en partie en raison de la perte de poids post greffe mais aussi dans les suites de plusieurs années d'hémodialyse avant la greffe. S'agissant de la répercussion de l'atteinte à la santé sur l'activité exercée jusqu'ici, elle mentionne un déconditionnement physique et un stress psychologique dans le cadre d'un traitement en hémodialyse (3x4h/sem) pendant plusieurs années et du traitement immunosuppresseur post-greffe. Elle estime qu'il peut travailler à 40-50% dans une activité adaptée physiquement avec possibilité d'augmenter le pourcentage dans le futur en l'absence de complications médicales liées à la greffe rénale. Dans son rapport médical du 23 janvier 2017, le Dr H.________ du SMR indique que le rapport médical de la Dresse J.________ confirme celui du Dr G.________ dans le sens d'une amélioration de l'état de santé de l'assuré après sa transplantation rénale et du recouvrement d'une capacité de travail dans une activité adaptée essentiellement à son immunité déficiente liée à la thérapeutique antirejet du greffon en cours. Il estime toutefois que la capacité de travail de l'ordre de 40-50% est essentiellement motivée par un déconditionnement suite à de longues années de thérapie mais que cet état ne représente pas une maladie invalidante en soi au sens de la LAI. c) Amenée à statuer sur la question litigieuse, la Cour de céans constate que la cause est suffisamment instruite pour lui permettre de trancher. En l'espèce, il ressort des rapports médicaux qui précèdent que, suite à la transplantation rénale du 5 mai 2015, tous les médecins interrogés après le 1er décembre 2015 s'accordent sur le fait qu'il y a eu une amélioration de l'état de santé de l'assuré après celle-ci et que l'assuré peut</w:t>
      </w:r>
    </w:p>
    <w:p>
      <w:r>
        <w:t>Tribunal cantonal TC Page 9 de 11 reprendre une activité adaptée, sans ports de charges, avec possibilité de prendre ses médicaments, dans un milieu permettant d'éviter l'exposition à de potentiels pathogènes, notamment respiratoires, et avec un horaire normal. Les rapports médicaux divergent uniquement s'agissant du taux de la capacité résiduelle de travail. Le Dr G.________, médecin traitant de l'assuré, et le Dr H.________ du SMR considèrent que l'activité adaptée peut être effectuée à 100% tandis que la Dresse J.________, médecin traitant du centre de transplantation du CHUV, estime que, vu le déconditionnement de l'assuré, sa capacité de travail est de 40 à 50% dans une activité adaptée avec possibilité d'augmenter le pourcentage dans le futur en l'absence de complications médicales liées à la greffe. La Cour se rallie aux avis médicaux du Dr G.________ et du Dr H.________ s'agissant de l'estimation de la capacité de travail. Ceux-ci sont basés sur des examens complets et ont été établis en pleine connaissance du dossier. En effet, le seul avis divergent de la Dresse J.________ se fonde sur le déconditionnement de l'assuré suite à de longues années de thérapie pour justifier une diminution de la capacité de travail. Or, comme relevé à juste titre par le Dr H.________ dans son rapport médical du 23 janvier 2017, le déconditionnement ne représente pas une maladie invalidante en soi au sens de la LAI. Ainsi, vu l'ensemble du dossier médical, une expertise pluridisciplinaire pour déterminer le degré d'invalidité s'avère inutile, et la Cour de céans retient que le recourant a une capacité de travail totale dans une activité adaptée sédentaire principalement en position assise, sans port de charge de plus de 10 kg, sans devoir se pencher ou travailler en porte-à-faux rachidien, ceci dans un milieu exempt de poussières et de risque infectieux. Il faut préciser ici que cette évaluation de la capacité de travail tient également compte du diagnostic de spondylarthrite ankylosante évolutive de type Bechterew. L'on peut ainsi considérer que, sur un plan théorique, cet assuré, né en 1968, est a nouveau capable, vu le rétablissement de son état physique, d'exercer en plein une activité adaptée à son handicap, qui n'apparaît plus pour l'heure que léger. Le fait qu'il ait touché une rente d'invalidité quelques années, dans l'attente de la réalisation d'une greffe, ne constitue pas un obstacle insurmontable à son retour sur le marché du travail, du moins pas au sens où l'entend la jurisprudence. On peut même se demander si la reprise de l'une ou l'autre de ses anciennes activités (vente, animation socio-culturelle, comme il l'a indiqué dans sa demande de rente initiale), n'est pas simplement envisageable. Sous cet angle, des mesures de réadaptation ne devraient pas être nécessaires, d'autant moins qu'à l'époque, il n'a guère paru enchanté à l'idée d'entamer un stage qui l'aurait vu "travailler pour rien". Toutefois, cas échéant, il aura encore la possibilité de se réinsérer par le biais de l'assurance- chômage. Dans ces circonstances, le recours, mal fondé, doit être rejeté et la suppression de la rente entière du 24 janvier 2017 confirmée, de même que le refus de mesures de réadaptation.</w:t>
      </w:r>
    </w:p>
    <w:p>
      <w:r>
        <w:t>Tribunal cantonal TC Page 10 de 11 6. L'Instance de céans doit encore statuer sur la demande d'assistance judiciaire déposée par l'assuré à l'appui de son recours. a)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des frais ou des sûretés (al. 1 let. b). b) Comme unique source de revenu le recourant percevait la rente d'invalidité de CHF 2'390.- qui lui a été supprimée par la décision du 24 janvier 2017. L’on peut ainsi admettre que le recourant soit indigent. S'agissant de la seconde condition, le recours n'était pas d'emblée ni à l'évidence dénué de toutes chances de succès, cela quand bien même il a été entièrement rejeté, dans le droit sens de la loi. La requête d'assistance judiciaire gratuite totale est ainsi admise et Me Florence Bourqui est désignée comme avocate d'office. c) Conformément aux art. 137ss, 142ss et 146ss CPJA et du tarif du 17 décembre 1991 des frais de procédure et des indemnités en matière de juridiction administrative (Tarif/JA; RSF 150.12), compte tenu de sa liste de frais produite le 22 février 2017, de la difficulté et de l'importance du litige, il se justifie de fixer l'équitable indemnité à laquelle il a droit à CHF 650.-, soit 300 minutes à CHF 130.- de l'heure conformément à la jurisprudence (cf. arrêts TF 9C_415/2009 du 12 août 2009 consid. 5.4 et 9C_688/2009 du 19 novembre 2009 consid. 5), plus CHF 6.- de frais et débours, soit à un total de CHF 656.-, éventuelle TVA comprise, et de la mettre intégralement à la charge de l'Etat de Fribourg. d) La procédure n'étant pas gratuite, les frais de justice sont fixés à CHF 800.- et sont mis à la charge du recourant qui succombe. Vu la décision d'octroi de l'assistance judiciaire totale de ce jour, le paiement ne sera toutefois pas exigé de sa part.</w:t>
      </w:r>
    </w:p>
    <w:p>
      <w:r>
        <w:t>Tribunal cantonal TC Page 11 de 11 la Cour arrête: I. Le recours (605 2017 29) est rejeté. II. L'assistance judiciaire totale (605 2017 52) est octroyée. III. Les frais de procédure, par CHF 800.- sont mis à la charge du recourant. Ils ne lui sont toutefois pas réclamés, en raison de l'assistance judiciaire totale octroyée. IV. L'indemnité allouée à Me Florence Bourqui, avocate au sein d'Inclusion Handicap, en sa qualité de défenseur d'office, est mise à la charge de l'Etat de Fribourg, est fixée à CHF 650.-, à laquelle il convient d'ajouter CHF 6.- de frais et débours, éventuelle TVA comprise, soit un total de CHF 656.-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octobre 2017 /mfa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